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76"/>
        <w:tblW w:w="15730" w:type="dxa"/>
        <w:tblLayout w:type="fixed"/>
        <w:tblLook w:val="04A0"/>
      </w:tblPr>
      <w:tblGrid>
        <w:gridCol w:w="1696"/>
        <w:gridCol w:w="1843"/>
        <w:gridCol w:w="4933"/>
        <w:gridCol w:w="6124"/>
        <w:gridCol w:w="1134"/>
      </w:tblGrid>
      <w:tr w:rsidR="000C614A" w:rsidRPr="00202C58" w:rsidTr="000E2596">
        <w:tc>
          <w:tcPr>
            <w:tcW w:w="15730" w:type="dxa"/>
            <w:gridSpan w:val="5"/>
            <w:shd w:val="clear" w:color="auto" w:fill="CFDCE3"/>
            <w:tcMar>
              <w:top w:w="57" w:type="dxa"/>
              <w:bottom w:w="57" w:type="dxa"/>
            </w:tcMar>
          </w:tcPr>
          <w:p w:rsidR="000C614A" w:rsidRPr="00202C58" w:rsidRDefault="000C614A" w:rsidP="000E2596">
            <w:pPr>
              <w:ind w:left="142"/>
              <w:jc w:val="center"/>
              <w:rPr>
                <w:rFonts w:cs="Arial"/>
                <w:b/>
                <w:sz w:val="24"/>
                <w:szCs w:val="24"/>
              </w:rPr>
            </w:pPr>
            <w:r w:rsidRPr="00202C58">
              <w:rPr>
                <w:rFonts w:cs="Arial"/>
                <w:b/>
                <w:sz w:val="24"/>
                <w:szCs w:val="24"/>
              </w:rPr>
              <w:t>Previous Academic</w:t>
            </w:r>
            <w:r w:rsidR="008C51F5" w:rsidRPr="00202C58">
              <w:rPr>
                <w:rFonts w:cs="Arial"/>
                <w:b/>
                <w:sz w:val="24"/>
                <w:szCs w:val="24"/>
              </w:rPr>
              <w:t xml:space="preserve"> Year Review of expenditure 2018</w:t>
            </w:r>
            <w:r w:rsidRPr="00202C58">
              <w:rPr>
                <w:rFonts w:cs="Arial"/>
                <w:b/>
                <w:sz w:val="24"/>
                <w:szCs w:val="24"/>
              </w:rPr>
              <w:t>-1</w:t>
            </w:r>
            <w:r w:rsidR="008C51F5" w:rsidRPr="00202C58">
              <w:rPr>
                <w:rFonts w:cs="Arial"/>
                <w:b/>
                <w:sz w:val="24"/>
                <w:szCs w:val="24"/>
              </w:rPr>
              <w:t>9</w:t>
            </w:r>
          </w:p>
        </w:tc>
      </w:tr>
      <w:tr w:rsidR="000C614A" w:rsidRPr="00202C58" w:rsidTr="000E2596">
        <w:tc>
          <w:tcPr>
            <w:tcW w:w="15730" w:type="dxa"/>
            <w:gridSpan w:val="5"/>
            <w:shd w:val="clear" w:color="auto" w:fill="ACB9CA" w:themeFill="text2" w:themeFillTint="66"/>
            <w:tcMar>
              <w:top w:w="57" w:type="dxa"/>
              <w:bottom w:w="57" w:type="dxa"/>
            </w:tcMar>
          </w:tcPr>
          <w:p w:rsidR="000C614A" w:rsidRPr="00202C58" w:rsidRDefault="000C614A" w:rsidP="000E2596">
            <w:pPr>
              <w:pStyle w:val="ListParagraph"/>
              <w:numPr>
                <w:ilvl w:val="0"/>
                <w:numId w:val="1"/>
              </w:numPr>
              <w:ind w:left="426" w:hanging="142"/>
              <w:rPr>
                <w:rFonts w:cs="Arial"/>
                <w:b/>
                <w:sz w:val="18"/>
                <w:szCs w:val="18"/>
              </w:rPr>
            </w:pPr>
            <w:r w:rsidRPr="00202C58">
              <w:rPr>
                <w:rFonts w:cs="Arial"/>
                <w:b/>
                <w:sz w:val="18"/>
                <w:szCs w:val="18"/>
              </w:rPr>
              <w:t>Quality of teaching for all</w:t>
            </w:r>
          </w:p>
        </w:tc>
      </w:tr>
      <w:tr w:rsidR="000C614A" w:rsidRPr="00202C58" w:rsidTr="000E2596">
        <w:trPr>
          <w:trHeight w:val="57"/>
        </w:trPr>
        <w:tc>
          <w:tcPr>
            <w:tcW w:w="1696" w:type="dxa"/>
            <w:tcMar>
              <w:top w:w="57" w:type="dxa"/>
              <w:bottom w:w="57" w:type="dxa"/>
            </w:tcMar>
          </w:tcPr>
          <w:p w:rsidR="000C614A" w:rsidRPr="00202C58" w:rsidRDefault="000C614A" w:rsidP="000E2596">
            <w:pPr>
              <w:rPr>
                <w:rFonts w:cs="Arial"/>
                <w:b/>
                <w:sz w:val="18"/>
                <w:szCs w:val="18"/>
              </w:rPr>
            </w:pPr>
            <w:r w:rsidRPr="00202C58">
              <w:rPr>
                <w:rFonts w:cs="Arial"/>
                <w:b/>
                <w:sz w:val="18"/>
                <w:szCs w:val="18"/>
              </w:rPr>
              <w:t>Desired outcome</w:t>
            </w:r>
          </w:p>
        </w:tc>
        <w:tc>
          <w:tcPr>
            <w:tcW w:w="1843" w:type="dxa"/>
            <w:tcMar>
              <w:top w:w="57" w:type="dxa"/>
              <w:bottom w:w="57" w:type="dxa"/>
            </w:tcMar>
          </w:tcPr>
          <w:p w:rsidR="000C614A" w:rsidRPr="00202C58" w:rsidRDefault="000C614A" w:rsidP="000E2596">
            <w:pPr>
              <w:rPr>
                <w:rFonts w:cs="Arial"/>
                <w:b/>
                <w:sz w:val="18"/>
                <w:szCs w:val="18"/>
              </w:rPr>
            </w:pPr>
            <w:r w:rsidRPr="00202C58">
              <w:rPr>
                <w:rFonts w:cs="Arial"/>
                <w:b/>
                <w:sz w:val="18"/>
                <w:szCs w:val="18"/>
              </w:rPr>
              <w:t>Chosen action/approach</w:t>
            </w:r>
          </w:p>
        </w:tc>
        <w:tc>
          <w:tcPr>
            <w:tcW w:w="4933" w:type="dxa"/>
            <w:tcMar>
              <w:top w:w="57" w:type="dxa"/>
              <w:bottom w:w="57" w:type="dxa"/>
            </w:tcMar>
          </w:tcPr>
          <w:p w:rsidR="000C614A" w:rsidRPr="00202C58" w:rsidRDefault="000C614A" w:rsidP="00BD0463">
            <w:pPr>
              <w:rPr>
                <w:rFonts w:cs="Arial"/>
                <w:sz w:val="18"/>
                <w:szCs w:val="18"/>
              </w:rPr>
            </w:pPr>
            <w:r w:rsidRPr="00202C58">
              <w:rPr>
                <w:rFonts w:cs="Arial"/>
                <w:b/>
                <w:sz w:val="18"/>
                <w:szCs w:val="18"/>
              </w:rPr>
              <w:t xml:space="preserve">Impact: </w:t>
            </w:r>
            <w:r w:rsidRPr="00202C58">
              <w:rPr>
                <w:rFonts w:cs="Arial"/>
                <w:sz w:val="18"/>
                <w:szCs w:val="18"/>
              </w:rPr>
              <w:t xml:space="preserve">Did you meet the success criteria? </w:t>
            </w:r>
          </w:p>
        </w:tc>
        <w:tc>
          <w:tcPr>
            <w:tcW w:w="6124" w:type="dxa"/>
            <w:tcMar>
              <w:top w:w="57" w:type="dxa"/>
              <w:bottom w:w="57" w:type="dxa"/>
            </w:tcMar>
          </w:tcPr>
          <w:p w:rsidR="000C614A" w:rsidRPr="00202C58" w:rsidRDefault="000C614A" w:rsidP="000E2596">
            <w:pPr>
              <w:rPr>
                <w:rFonts w:cs="Arial"/>
                <w:b/>
                <w:sz w:val="18"/>
                <w:szCs w:val="18"/>
              </w:rPr>
            </w:pPr>
            <w:r w:rsidRPr="00202C58">
              <w:rPr>
                <w:rFonts w:cs="Arial"/>
                <w:b/>
                <w:sz w:val="18"/>
                <w:szCs w:val="18"/>
              </w:rPr>
              <w:t xml:space="preserve">Lessons learned </w:t>
            </w:r>
          </w:p>
          <w:p w:rsidR="000C614A" w:rsidRPr="00202C58" w:rsidRDefault="000C614A" w:rsidP="000E2596">
            <w:pPr>
              <w:rPr>
                <w:rFonts w:cs="Arial"/>
                <w:b/>
                <w:sz w:val="18"/>
                <w:szCs w:val="18"/>
              </w:rPr>
            </w:pPr>
            <w:r w:rsidRPr="00202C58">
              <w:rPr>
                <w:rFonts w:cs="Arial"/>
                <w:sz w:val="18"/>
                <w:szCs w:val="18"/>
              </w:rPr>
              <w:t>(and whether you will continue with this approach)</w:t>
            </w:r>
          </w:p>
        </w:tc>
        <w:tc>
          <w:tcPr>
            <w:tcW w:w="1134" w:type="dxa"/>
          </w:tcPr>
          <w:p w:rsidR="000C614A" w:rsidRPr="00202C58" w:rsidRDefault="000C614A" w:rsidP="000E2596">
            <w:pPr>
              <w:rPr>
                <w:rFonts w:cs="Arial"/>
                <w:b/>
                <w:sz w:val="18"/>
                <w:szCs w:val="18"/>
              </w:rPr>
            </w:pPr>
            <w:r w:rsidRPr="00202C58">
              <w:rPr>
                <w:rFonts w:cs="Arial"/>
                <w:b/>
                <w:sz w:val="18"/>
                <w:szCs w:val="18"/>
              </w:rPr>
              <w:t>Cost</w:t>
            </w:r>
          </w:p>
        </w:tc>
      </w:tr>
      <w:tr w:rsidR="008C51F5" w:rsidRPr="00202C58" w:rsidTr="000E2596">
        <w:trPr>
          <w:trHeight w:hRule="exact" w:val="1625"/>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Pupils give timely accurate feedback to support and promote their learning</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Visible Learning  (VL) approach</w:t>
            </w:r>
          </w:p>
          <w:p w:rsidR="008C51F5" w:rsidRPr="00202C58" w:rsidRDefault="008C51F5" w:rsidP="000E2596">
            <w:pPr>
              <w:rPr>
                <w:rFonts w:cstheme="minorHAnsi"/>
                <w:sz w:val="18"/>
                <w:szCs w:val="18"/>
              </w:rPr>
            </w:pPr>
            <w:proofErr w:type="gramStart"/>
            <w:r w:rsidRPr="00202C58">
              <w:rPr>
                <w:rFonts w:cstheme="minorHAnsi"/>
                <w:sz w:val="18"/>
                <w:szCs w:val="18"/>
              </w:rPr>
              <w:t>Teacher Conferencing.</w:t>
            </w:r>
            <w:proofErr w:type="gramEnd"/>
          </w:p>
          <w:p w:rsidR="008C51F5" w:rsidRPr="00202C58" w:rsidRDefault="008C51F5" w:rsidP="000E2596">
            <w:pPr>
              <w:rPr>
                <w:rFonts w:cstheme="minorHAnsi"/>
                <w:sz w:val="18"/>
                <w:szCs w:val="18"/>
              </w:rPr>
            </w:pPr>
            <w:r w:rsidRPr="00202C58">
              <w:rPr>
                <w:rFonts w:cstheme="minorHAnsi"/>
                <w:sz w:val="18"/>
                <w:szCs w:val="18"/>
              </w:rPr>
              <w:t>Use of peer marking &amp;review new feedback policy</w:t>
            </w:r>
          </w:p>
          <w:p w:rsidR="008C51F5" w:rsidRPr="00202C58" w:rsidRDefault="008C51F5" w:rsidP="000E2596">
            <w:pPr>
              <w:rPr>
                <w:rFonts w:cstheme="minorHAnsi"/>
                <w:sz w:val="18"/>
                <w:szCs w:val="18"/>
              </w:rPr>
            </w:pPr>
          </w:p>
        </w:tc>
        <w:tc>
          <w:tcPr>
            <w:tcW w:w="493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VL </w:t>
            </w:r>
            <w:r w:rsidR="00BD0463">
              <w:rPr>
                <w:rFonts w:cstheme="minorHAnsi"/>
                <w:sz w:val="18"/>
                <w:szCs w:val="18"/>
              </w:rPr>
              <w:t xml:space="preserve">continues to be a central plank of the schools impact plan. Learning dispositions reintroduced with pupils being able to explain their own part in the learning cycle. Learning </w:t>
            </w:r>
            <w:proofErr w:type="gramStart"/>
            <w:r w:rsidR="00BD0463">
              <w:rPr>
                <w:rFonts w:cstheme="minorHAnsi"/>
                <w:sz w:val="18"/>
                <w:szCs w:val="18"/>
              </w:rPr>
              <w:t>toolkits and feedback</w:t>
            </w:r>
            <w:proofErr w:type="gramEnd"/>
            <w:r w:rsidR="00BD0463">
              <w:rPr>
                <w:rFonts w:cstheme="minorHAnsi"/>
                <w:sz w:val="18"/>
                <w:szCs w:val="18"/>
              </w:rPr>
              <w:t xml:space="preserve"> and marking procedures revised.</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BD0463" w:rsidP="000E2596">
            <w:pPr>
              <w:pStyle w:val="Default"/>
              <w:rPr>
                <w:rFonts w:asciiTheme="minorHAnsi" w:hAnsiTheme="minorHAnsi"/>
                <w:color w:val="auto"/>
                <w:sz w:val="18"/>
                <w:szCs w:val="18"/>
              </w:rPr>
            </w:pPr>
            <w:r>
              <w:rPr>
                <w:rFonts w:asciiTheme="minorHAnsi" w:hAnsiTheme="minorHAnsi"/>
                <w:color w:val="auto"/>
                <w:sz w:val="18"/>
                <w:szCs w:val="18"/>
              </w:rPr>
              <w:t xml:space="preserve">Outcomes are </w:t>
            </w:r>
            <w:proofErr w:type="gramStart"/>
            <w:r>
              <w:rPr>
                <w:rFonts w:asciiTheme="minorHAnsi" w:hAnsiTheme="minorHAnsi"/>
                <w:color w:val="auto"/>
                <w:sz w:val="18"/>
                <w:szCs w:val="18"/>
              </w:rPr>
              <w:t>positive,</w:t>
            </w:r>
            <w:proofErr w:type="gramEnd"/>
            <w:r>
              <w:rPr>
                <w:rFonts w:asciiTheme="minorHAnsi" w:hAnsiTheme="minorHAnsi"/>
                <w:color w:val="auto"/>
                <w:sz w:val="18"/>
                <w:szCs w:val="18"/>
              </w:rPr>
              <w:t xml:space="preserve"> pupils understand the learning dispositions and have begun to use them when reflecting on their learning. Pupils are using marking codes to inform them of their next steps. This work will need to be fully embedded next year.</w:t>
            </w:r>
          </w:p>
        </w:tc>
        <w:tc>
          <w:tcPr>
            <w:tcW w:w="1134" w:type="dxa"/>
          </w:tcPr>
          <w:p w:rsidR="008C51F5" w:rsidRPr="00202C58" w:rsidRDefault="008C51F5" w:rsidP="000E2596">
            <w:pPr>
              <w:rPr>
                <w:rFonts w:cs="Arial"/>
                <w:sz w:val="18"/>
                <w:szCs w:val="18"/>
              </w:rPr>
            </w:pPr>
            <w:r w:rsidRPr="00202C58">
              <w:rPr>
                <w:rFonts w:cs="Arial"/>
                <w:sz w:val="18"/>
                <w:szCs w:val="18"/>
              </w:rPr>
              <w:t>£20,000</w:t>
            </w:r>
          </w:p>
        </w:tc>
      </w:tr>
      <w:tr w:rsidR="008C51F5" w:rsidRPr="00202C58" w:rsidTr="000E2596">
        <w:trPr>
          <w:trHeight w:hRule="exact" w:val="2516"/>
        </w:trPr>
        <w:tc>
          <w:tcPr>
            <w:tcW w:w="1696" w:type="dxa"/>
            <w:tcMar>
              <w:top w:w="57" w:type="dxa"/>
              <w:bottom w:w="57" w:type="dxa"/>
            </w:tcMar>
          </w:tcPr>
          <w:p w:rsidR="008C51F5" w:rsidRPr="00202C58" w:rsidRDefault="008C51F5" w:rsidP="000E2596">
            <w:pPr>
              <w:rPr>
                <w:rFonts w:cstheme="minorHAnsi"/>
                <w:sz w:val="18"/>
                <w:szCs w:val="18"/>
                <w:highlight w:val="yellow"/>
              </w:rPr>
            </w:pPr>
            <w:r w:rsidRPr="00202C58">
              <w:rPr>
                <w:rFonts w:cstheme="minorHAnsi"/>
                <w:sz w:val="18"/>
                <w:szCs w:val="18"/>
              </w:rPr>
              <w:t>Develop pupils reading comprehension skills</w:t>
            </w:r>
          </w:p>
        </w:tc>
        <w:tc>
          <w:tcPr>
            <w:tcW w:w="1843" w:type="dxa"/>
            <w:tcMar>
              <w:top w:w="57" w:type="dxa"/>
              <w:bottom w:w="57" w:type="dxa"/>
            </w:tcMar>
          </w:tcPr>
          <w:p w:rsidR="008C51F5" w:rsidRPr="00202C58" w:rsidRDefault="008C51F5" w:rsidP="000E2596">
            <w:pPr>
              <w:rPr>
                <w:rFonts w:cstheme="minorHAnsi"/>
                <w:sz w:val="18"/>
                <w:szCs w:val="18"/>
              </w:rPr>
            </w:pPr>
            <w:proofErr w:type="gramStart"/>
            <w:r w:rsidRPr="00202C58">
              <w:rPr>
                <w:rFonts w:cstheme="minorHAnsi"/>
                <w:sz w:val="18"/>
                <w:szCs w:val="18"/>
              </w:rPr>
              <w:t>Introduction of ERIC- daily teaching of reading and follow up activities.</w:t>
            </w:r>
            <w:proofErr w:type="gramEnd"/>
          </w:p>
          <w:p w:rsidR="008C51F5" w:rsidRPr="00202C58" w:rsidRDefault="008C51F5" w:rsidP="000E2596">
            <w:pPr>
              <w:rPr>
                <w:rFonts w:cstheme="minorHAnsi"/>
                <w:sz w:val="18"/>
                <w:szCs w:val="18"/>
              </w:rPr>
            </w:pPr>
            <w:r w:rsidRPr="00202C58">
              <w:rPr>
                <w:rFonts w:cstheme="minorHAnsi"/>
                <w:sz w:val="18"/>
                <w:szCs w:val="18"/>
              </w:rPr>
              <w:t>Provision of a librarian to run accelerated reading programme and become the reading champion.</w:t>
            </w:r>
          </w:p>
        </w:tc>
        <w:tc>
          <w:tcPr>
            <w:tcW w:w="493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Pupil data indicates that reading is an area for development, particularly the higher order reading skills.</w:t>
            </w:r>
            <w:r w:rsidR="00BA2882">
              <w:rPr>
                <w:rFonts w:cstheme="minorHAnsi"/>
                <w:sz w:val="18"/>
                <w:szCs w:val="18"/>
              </w:rPr>
              <w:t xml:space="preserve"> EREIC introduced in October 2018.</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BA2882" w:rsidP="000E2596">
            <w:pPr>
              <w:pStyle w:val="Default"/>
              <w:rPr>
                <w:rFonts w:asciiTheme="minorHAnsi" w:hAnsiTheme="minorHAnsi"/>
                <w:color w:val="auto"/>
                <w:sz w:val="18"/>
                <w:szCs w:val="18"/>
              </w:rPr>
            </w:pPr>
            <w:r>
              <w:rPr>
                <w:rFonts w:asciiTheme="minorHAnsi" w:hAnsiTheme="minorHAnsi"/>
                <w:color w:val="auto"/>
                <w:sz w:val="18"/>
                <w:szCs w:val="18"/>
              </w:rPr>
              <w:t>ERIC introduced and PIRA reading scores have improved across the school. End of KS2 results lower than expected although disadvantaged pupils attainment was above all the  in school pupils. Continue and refine teaching of reading.</w:t>
            </w:r>
          </w:p>
        </w:tc>
        <w:tc>
          <w:tcPr>
            <w:tcW w:w="1134" w:type="dxa"/>
          </w:tcPr>
          <w:p w:rsidR="008C51F5" w:rsidRPr="00202C58" w:rsidRDefault="008C51F5" w:rsidP="000E2596">
            <w:pPr>
              <w:rPr>
                <w:rFonts w:cs="Arial"/>
                <w:sz w:val="18"/>
                <w:szCs w:val="18"/>
              </w:rPr>
            </w:pPr>
          </w:p>
        </w:tc>
      </w:tr>
      <w:tr w:rsidR="008C51F5" w:rsidRPr="00202C58" w:rsidTr="000E2596">
        <w:trPr>
          <w:trHeight w:hRule="exact" w:val="312"/>
        </w:trPr>
        <w:tc>
          <w:tcPr>
            <w:tcW w:w="15730" w:type="dxa"/>
            <w:gridSpan w:val="5"/>
            <w:shd w:val="clear" w:color="auto" w:fill="ACB9CA" w:themeFill="text2" w:themeFillTint="66"/>
            <w:tcMar>
              <w:top w:w="57" w:type="dxa"/>
              <w:bottom w:w="57" w:type="dxa"/>
            </w:tcMar>
          </w:tcPr>
          <w:p w:rsidR="008C51F5" w:rsidRPr="00202C58" w:rsidRDefault="008C51F5" w:rsidP="000E2596">
            <w:pPr>
              <w:pStyle w:val="ListParagraph"/>
              <w:numPr>
                <w:ilvl w:val="0"/>
                <w:numId w:val="1"/>
              </w:numPr>
              <w:ind w:left="426" w:hanging="142"/>
              <w:rPr>
                <w:rFonts w:cs="Arial"/>
                <w:b/>
                <w:sz w:val="18"/>
                <w:szCs w:val="18"/>
              </w:rPr>
            </w:pPr>
            <w:r w:rsidRPr="00202C58">
              <w:rPr>
                <w:rFonts w:cs="Arial"/>
                <w:b/>
                <w:sz w:val="18"/>
                <w:szCs w:val="18"/>
              </w:rPr>
              <w:t>Targeted support</w:t>
            </w:r>
          </w:p>
        </w:tc>
      </w:tr>
      <w:tr w:rsidR="008C51F5" w:rsidRPr="00202C58" w:rsidTr="000E2596">
        <w:tc>
          <w:tcPr>
            <w:tcW w:w="1696"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Desired outcome</w:t>
            </w:r>
          </w:p>
        </w:tc>
        <w:tc>
          <w:tcPr>
            <w:tcW w:w="1843"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Chosen action/approach</w:t>
            </w:r>
          </w:p>
        </w:tc>
        <w:tc>
          <w:tcPr>
            <w:tcW w:w="4933" w:type="dxa"/>
            <w:tcMar>
              <w:top w:w="57" w:type="dxa"/>
              <w:bottom w:w="57" w:type="dxa"/>
            </w:tcMar>
          </w:tcPr>
          <w:p w:rsidR="008C51F5" w:rsidRPr="00202C58" w:rsidRDefault="008C51F5" w:rsidP="000E2596">
            <w:pPr>
              <w:rPr>
                <w:rFonts w:cs="Arial"/>
                <w:sz w:val="18"/>
                <w:szCs w:val="18"/>
              </w:rPr>
            </w:pPr>
            <w:r w:rsidRPr="00202C58">
              <w:rPr>
                <w:rFonts w:cs="Arial"/>
                <w:b/>
                <w:sz w:val="18"/>
                <w:szCs w:val="18"/>
              </w:rPr>
              <w:t xml:space="preserve">Estimated impact: </w:t>
            </w:r>
            <w:r w:rsidRPr="00202C58">
              <w:rPr>
                <w:rFonts w:cs="Arial"/>
                <w:sz w:val="18"/>
                <w:szCs w:val="18"/>
              </w:rPr>
              <w:t>Did you meet the success criteria? Include impact on pupils not eligible for PP, if appropriate.</w:t>
            </w:r>
          </w:p>
        </w:tc>
        <w:tc>
          <w:tcPr>
            <w:tcW w:w="6124"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 xml:space="preserve">Lessons learned </w:t>
            </w:r>
          </w:p>
          <w:p w:rsidR="008C51F5" w:rsidRPr="00202C58" w:rsidRDefault="008C51F5" w:rsidP="000E2596">
            <w:pPr>
              <w:rPr>
                <w:rFonts w:cs="Arial"/>
                <w:b/>
                <w:sz w:val="18"/>
                <w:szCs w:val="18"/>
              </w:rPr>
            </w:pPr>
            <w:r w:rsidRPr="00202C58">
              <w:rPr>
                <w:rFonts w:cs="Arial"/>
                <w:sz w:val="18"/>
                <w:szCs w:val="18"/>
              </w:rPr>
              <w:t>(and whether you will continue with this approach)</w:t>
            </w:r>
          </w:p>
        </w:tc>
        <w:tc>
          <w:tcPr>
            <w:tcW w:w="1134" w:type="dxa"/>
          </w:tcPr>
          <w:p w:rsidR="008C51F5" w:rsidRPr="00202C58" w:rsidRDefault="008C51F5" w:rsidP="000E2596">
            <w:pPr>
              <w:rPr>
                <w:rFonts w:cs="Arial"/>
                <w:b/>
                <w:sz w:val="18"/>
                <w:szCs w:val="18"/>
              </w:rPr>
            </w:pPr>
            <w:r w:rsidRPr="00202C58">
              <w:rPr>
                <w:rFonts w:cs="Arial"/>
                <w:b/>
                <w:sz w:val="18"/>
                <w:szCs w:val="18"/>
              </w:rPr>
              <w:t>Cost</w:t>
            </w: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Increase the pupils’ phonic skills and knowledge, ensuring their application in reading and writing activities.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Phonic &amp; literacy support Continued provision of RW inc and ensuring enough adults to support appropriate groupings.</w:t>
            </w:r>
          </w:p>
        </w:tc>
        <w:tc>
          <w:tcPr>
            <w:tcW w:w="4933" w:type="dxa"/>
            <w:tcMar>
              <w:top w:w="57" w:type="dxa"/>
              <w:bottom w:w="57" w:type="dxa"/>
            </w:tcMar>
          </w:tcPr>
          <w:p w:rsidR="008C51F5" w:rsidRPr="00202C58" w:rsidRDefault="00202C58" w:rsidP="000E2596">
            <w:pPr>
              <w:rPr>
                <w:rFonts w:cstheme="minorHAnsi"/>
                <w:sz w:val="18"/>
                <w:szCs w:val="18"/>
              </w:rPr>
            </w:pPr>
            <w:r w:rsidRPr="00202C58">
              <w:rPr>
                <w:rFonts w:cstheme="minorHAnsi"/>
                <w:sz w:val="18"/>
                <w:szCs w:val="18"/>
              </w:rPr>
              <w:t xml:space="preserve">Phonics attainment at end of yr 1 check fell to 58%. Literacy leader left in February 2019 and recruitment failed to find a suitable replacement until September 2019. </w:t>
            </w:r>
          </w:p>
        </w:tc>
        <w:tc>
          <w:tcPr>
            <w:tcW w:w="6124" w:type="dxa"/>
            <w:tcMar>
              <w:top w:w="57" w:type="dxa"/>
              <w:bottom w:w="57" w:type="dxa"/>
            </w:tcMar>
          </w:tcPr>
          <w:p w:rsidR="008C51F5" w:rsidRPr="00202C58" w:rsidRDefault="00202C58" w:rsidP="000E2596">
            <w:pPr>
              <w:rPr>
                <w:rFonts w:cs="Arial"/>
                <w:sz w:val="18"/>
                <w:szCs w:val="18"/>
              </w:rPr>
            </w:pPr>
            <w:r w:rsidRPr="00202C58">
              <w:rPr>
                <w:rFonts w:cs="Arial"/>
                <w:sz w:val="18"/>
                <w:szCs w:val="18"/>
              </w:rPr>
              <w:t>The schools approach to phonics will be reviewed by new literacy leader and a consistent, thorough program introduced. All TAs will be retrained in new program and all KS1 classes will be set for phonics.</w:t>
            </w:r>
          </w:p>
        </w:tc>
        <w:tc>
          <w:tcPr>
            <w:tcW w:w="1134" w:type="dxa"/>
            <w:vMerge w:val="restart"/>
          </w:tcPr>
          <w:p w:rsidR="008C51F5" w:rsidRPr="00202C58" w:rsidRDefault="008C51F5" w:rsidP="000E2596">
            <w:pPr>
              <w:rPr>
                <w:rFonts w:cs="Arial"/>
                <w:sz w:val="18"/>
                <w:szCs w:val="18"/>
              </w:rPr>
            </w:pPr>
            <w:r w:rsidRPr="00202C58">
              <w:rPr>
                <w:rFonts w:cs="Arial"/>
                <w:sz w:val="18"/>
                <w:szCs w:val="18"/>
              </w:rPr>
              <w:t>£60,000</w:t>
            </w:r>
          </w:p>
        </w:tc>
      </w:tr>
      <w:tr w:rsidR="008C51F5" w:rsidRPr="00202C58" w:rsidTr="004E4239">
        <w:trPr>
          <w:cantSplit/>
          <w:trHeight w:hRule="exact" w:val="1281"/>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Focussed support for small groups of pupils, targeting pupils at risk of falling behind.</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Small group support</w:t>
            </w:r>
          </w:p>
        </w:tc>
        <w:tc>
          <w:tcPr>
            <w:tcW w:w="493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Certain pupils will </w:t>
            </w:r>
            <w:proofErr w:type="gramStart"/>
            <w:r w:rsidRPr="00202C58">
              <w:rPr>
                <w:rFonts w:cstheme="minorHAnsi"/>
                <w:sz w:val="18"/>
                <w:szCs w:val="18"/>
              </w:rPr>
              <w:t>require</w:t>
            </w:r>
            <w:r w:rsidR="00E261B7">
              <w:rPr>
                <w:rFonts w:cstheme="minorHAnsi"/>
                <w:sz w:val="18"/>
                <w:szCs w:val="18"/>
              </w:rPr>
              <w:t>d</w:t>
            </w:r>
            <w:proofErr w:type="gramEnd"/>
            <w:r w:rsidRPr="00202C58">
              <w:rPr>
                <w:rFonts w:cstheme="minorHAnsi"/>
                <w:sz w:val="18"/>
                <w:szCs w:val="18"/>
              </w:rPr>
              <w:t xml:space="preserve"> additional support, re-teaching or revising work to consolidate their learning.</w:t>
            </w:r>
            <w:r w:rsidR="00E261B7">
              <w:rPr>
                <w:rFonts w:cstheme="minorHAnsi"/>
                <w:sz w:val="18"/>
                <w:szCs w:val="18"/>
              </w:rPr>
              <w:t xml:space="preserve"> Small group support under direction of teacher and /or </w:t>
            </w:r>
            <w:proofErr w:type="spellStart"/>
            <w:proofErr w:type="gramStart"/>
            <w:r w:rsidR="00E261B7">
              <w:rPr>
                <w:rFonts w:cstheme="minorHAnsi"/>
                <w:sz w:val="18"/>
                <w:szCs w:val="18"/>
              </w:rPr>
              <w:t>SENDCo</w:t>
            </w:r>
            <w:proofErr w:type="spellEnd"/>
            <w:r w:rsidR="00E261B7">
              <w:rPr>
                <w:rFonts w:cstheme="minorHAnsi"/>
                <w:sz w:val="18"/>
                <w:szCs w:val="18"/>
              </w:rPr>
              <w:t xml:space="preserve">  have</w:t>
            </w:r>
            <w:proofErr w:type="gramEnd"/>
            <w:r w:rsidR="00E261B7">
              <w:rPr>
                <w:rFonts w:cstheme="minorHAnsi"/>
                <w:sz w:val="18"/>
                <w:szCs w:val="18"/>
              </w:rPr>
              <w:t xml:space="preserve"> had a positive impact. Progress is evident.</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1433D5" w:rsidP="001433D5">
            <w:pPr>
              <w:ind w:left="33" w:firstLine="22"/>
              <w:rPr>
                <w:rFonts w:cs="Arial"/>
                <w:sz w:val="18"/>
                <w:szCs w:val="18"/>
              </w:rPr>
            </w:pPr>
            <w:r>
              <w:rPr>
                <w:rFonts w:cs="Arial"/>
                <w:sz w:val="18"/>
                <w:szCs w:val="18"/>
              </w:rPr>
              <w:t xml:space="preserve">Continue to allocate TAs </w:t>
            </w:r>
            <w:proofErr w:type="gramStart"/>
            <w:r>
              <w:rPr>
                <w:rFonts w:cs="Arial"/>
                <w:sz w:val="18"/>
                <w:szCs w:val="18"/>
              </w:rPr>
              <w:t>on the basis of</w:t>
            </w:r>
            <w:proofErr w:type="gramEnd"/>
            <w:r>
              <w:rPr>
                <w:rFonts w:cs="Arial"/>
                <w:sz w:val="18"/>
                <w:szCs w:val="18"/>
              </w:rPr>
              <w:t xml:space="preserve"> need and match their skills to the classes and groups</w:t>
            </w:r>
            <w:r w:rsidR="00BA2882">
              <w:rPr>
                <w:rFonts w:cs="Arial"/>
                <w:sz w:val="18"/>
                <w:szCs w:val="18"/>
              </w:rPr>
              <w:t>. Small group provision will continue next year.</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lastRenderedPageBreak/>
              <w:t xml:space="preserve">Improved </w:t>
            </w:r>
            <w:proofErr w:type="spellStart"/>
            <w:r w:rsidRPr="00202C58">
              <w:rPr>
                <w:rFonts w:cstheme="minorHAnsi"/>
                <w:sz w:val="18"/>
                <w:szCs w:val="18"/>
              </w:rPr>
              <w:t>oracy</w:t>
            </w:r>
            <w:proofErr w:type="spellEnd"/>
            <w:r w:rsidRPr="00202C58">
              <w:rPr>
                <w:rFonts w:cstheme="minorHAnsi"/>
                <w:sz w:val="18"/>
                <w:szCs w:val="18"/>
              </w:rPr>
              <w:t xml:space="preserve"> in EY / KS1 pupils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1 day a week speech &amp; language therapy from </w:t>
            </w:r>
            <w:proofErr w:type="gramStart"/>
            <w:r w:rsidRPr="00202C58">
              <w:rPr>
                <w:rFonts w:cstheme="minorHAnsi"/>
                <w:sz w:val="18"/>
                <w:szCs w:val="18"/>
              </w:rPr>
              <w:t>Dame Hannah’s</w:t>
            </w:r>
            <w:proofErr w:type="gramEnd"/>
            <w:r w:rsidRPr="00202C58">
              <w:rPr>
                <w:rFonts w:cstheme="minorHAnsi"/>
                <w:sz w:val="18"/>
                <w:szCs w:val="18"/>
              </w:rPr>
              <w:t xml:space="preserve">. </w:t>
            </w:r>
            <w:proofErr w:type="gramStart"/>
            <w:r w:rsidRPr="00202C58">
              <w:rPr>
                <w:rFonts w:cstheme="minorHAnsi"/>
                <w:sz w:val="18"/>
                <w:szCs w:val="18"/>
              </w:rPr>
              <w:t xml:space="preserve">Additional provision of an additional </w:t>
            </w:r>
            <w:proofErr w:type="spellStart"/>
            <w:r w:rsidRPr="00202C58">
              <w:rPr>
                <w:rFonts w:cstheme="minorHAnsi"/>
                <w:sz w:val="18"/>
                <w:szCs w:val="18"/>
              </w:rPr>
              <w:t>Sp&amp;L</w:t>
            </w:r>
            <w:proofErr w:type="spellEnd"/>
            <w:r w:rsidRPr="00202C58">
              <w:rPr>
                <w:rFonts w:cstheme="minorHAnsi"/>
                <w:sz w:val="18"/>
                <w:szCs w:val="18"/>
              </w:rPr>
              <w:t xml:space="preserve"> TA working across the school.</w:t>
            </w:r>
            <w:proofErr w:type="gramEnd"/>
          </w:p>
        </w:tc>
        <w:tc>
          <w:tcPr>
            <w:tcW w:w="4933" w:type="dxa"/>
            <w:tcMar>
              <w:top w:w="57" w:type="dxa"/>
              <w:bottom w:w="57" w:type="dxa"/>
            </w:tcMar>
          </w:tcPr>
          <w:p w:rsidR="008C51F5" w:rsidRPr="00202C58" w:rsidRDefault="00202C58" w:rsidP="000E2596">
            <w:pPr>
              <w:rPr>
                <w:rFonts w:cstheme="minorHAnsi"/>
                <w:sz w:val="18"/>
                <w:szCs w:val="18"/>
              </w:rPr>
            </w:pPr>
            <w:r w:rsidRPr="00202C58">
              <w:rPr>
                <w:rFonts w:cstheme="minorHAnsi"/>
                <w:sz w:val="18"/>
                <w:szCs w:val="18"/>
              </w:rPr>
              <w:t xml:space="preserve">All foundation pupils screened and others referred into service. Pre and post testing indicate positive progress by all pupils involved. </w:t>
            </w:r>
            <w:proofErr w:type="spellStart"/>
            <w:r w:rsidRPr="00202C58">
              <w:rPr>
                <w:rFonts w:cstheme="minorHAnsi"/>
                <w:sz w:val="18"/>
                <w:szCs w:val="18"/>
              </w:rPr>
              <w:t>SENDCo</w:t>
            </w:r>
            <w:proofErr w:type="spellEnd"/>
            <w:r w:rsidRPr="00202C58">
              <w:rPr>
                <w:rFonts w:cstheme="minorHAnsi"/>
                <w:sz w:val="18"/>
                <w:szCs w:val="18"/>
              </w:rPr>
              <w:t xml:space="preserve"> holds evidence of </w:t>
            </w:r>
            <w:proofErr w:type="gramStart"/>
            <w:r w:rsidRPr="00202C58">
              <w:rPr>
                <w:rFonts w:cstheme="minorHAnsi"/>
                <w:sz w:val="18"/>
                <w:szCs w:val="18"/>
              </w:rPr>
              <w:t>pupils</w:t>
            </w:r>
            <w:proofErr w:type="gramEnd"/>
            <w:r w:rsidRPr="00202C58">
              <w:rPr>
                <w:rFonts w:cstheme="minorHAnsi"/>
                <w:sz w:val="18"/>
                <w:szCs w:val="18"/>
              </w:rPr>
              <w:t xml:space="preserve"> progress.</w:t>
            </w:r>
          </w:p>
        </w:tc>
        <w:tc>
          <w:tcPr>
            <w:tcW w:w="6124" w:type="dxa"/>
            <w:tcMar>
              <w:top w:w="57" w:type="dxa"/>
              <w:bottom w:w="57" w:type="dxa"/>
            </w:tcMar>
          </w:tcPr>
          <w:p w:rsidR="008C51F5" w:rsidRPr="00202C58" w:rsidRDefault="00202C58"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Provide pupils with appropriate support to overcome/ minimise their barriers to learning.</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Access to MAST services, part of subscription to Plymouth Excellence Cluster.</w:t>
            </w:r>
          </w:p>
        </w:tc>
        <w:tc>
          <w:tcPr>
            <w:tcW w:w="4933" w:type="dxa"/>
            <w:tcMar>
              <w:top w:w="57" w:type="dxa"/>
              <w:bottom w:w="57" w:type="dxa"/>
            </w:tcMar>
          </w:tcPr>
          <w:p w:rsidR="00202C58" w:rsidRPr="00202C58" w:rsidRDefault="002810FE" w:rsidP="000E2596">
            <w:pPr>
              <w:rPr>
                <w:rFonts w:cstheme="minorHAnsi"/>
                <w:sz w:val="18"/>
                <w:szCs w:val="18"/>
              </w:rPr>
            </w:pPr>
            <w:r>
              <w:rPr>
                <w:rFonts w:cstheme="minorHAnsi"/>
                <w:sz w:val="18"/>
                <w:szCs w:val="18"/>
              </w:rPr>
              <w:t xml:space="preserve">MAST referral made for pupils who need additional support. </w:t>
            </w:r>
            <w:proofErr w:type="gramStart"/>
            <w:r>
              <w:rPr>
                <w:rFonts w:cstheme="minorHAnsi"/>
                <w:sz w:val="18"/>
                <w:szCs w:val="18"/>
              </w:rPr>
              <w:t>Outcome are</w:t>
            </w:r>
            <w:proofErr w:type="gramEnd"/>
            <w:r>
              <w:rPr>
                <w:rFonts w:cstheme="minorHAnsi"/>
                <w:sz w:val="18"/>
                <w:szCs w:val="18"/>
              </w:rPr>
              <w:t xml:space="preserve"> positive and often related to SEMH issues or difficult family dynamics. For pupils involved outcomes are positive.</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2810FE"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507"/>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Pupils with emotional/ welfare concerns  will engage in their learning and make progress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Emotional and welfare support for pupils Provision of school counsellor and ELSAs.</w:t>
            </w:r>
          </w:p>
        </w:tc>
        <w:tc>
          <w:tcPr>
            <w:tcW w:w="4933" w:type="dxa"/>
            <w:tcMar>
              <w:top w:w="57" w:type="dxa"/>
              <w:bottom w:w="57" w:type="dxa"/>
            </w:tcMar>
          </w:tcPr>
          <w:p w:rsidR="008C51F5" w:rsidRPr="00202C58" w:rsidRDefault="00202C58" w:rsidP="000E2596">
            <w:pPr>
              <w:rPr>
                <w:rFonts w:cstheme="minorHAnsi"/>
                <w:sz w:val="18"/>
                <w:szCs w:val="18"/>
              </w:rPr>
            </w:pPr>
            <w:r w:rsidRPr="00202C58">
              <w:rPr>
                <w:rFonts w:cstheme="minorHAnsi"/>
                <w:sz w:val="18"/>
                <w:szCs w:val="18"/>
              </w:rPr>
              <w:t xml:space="preserve">Pupils referred into ELSA &amp; Counselling service, </w:t>
            </w:r>
            <w:proofErr w:type="spellStart"/>
            <w:r w:rsidRPr="00202C58">
              <w:rPr>
                <w:rFonts w:cstheme="minorHAnsi"/>
                <w:sz w:val="18"/>
                <w:szCs w:val="18"/>
              </w:rPr>
              <w:t>SENDCo</w:t>
            </w:r>
            <w:proofErr w:type="spellEnd"/>
            <w:r w:rsidRPr="00202C58">
              <w:rPr>
                <w:rFonts w:cstheme="minorHAnsi"/>
                <w:sz w:val="18"/>
                <w:szCs w:val="18"/>
              </w:rPr>
              <w:t xml:space="preserve"> and class teachers discuss needs. Pupils receiving support display positive attitudes towards their work</w:t>
            </w:r>
          </w:p>
        </w:tc>
        <w:tc>
          <w:tcPr>
            <w:tcW w:w="6124" w:type="dxa"/>
            <w:tcMar>
              <w:top w:w="57" w:type="dxa"/>
              <w:bottom w:w="57" w:type="dxa"/>
            </w:tcMar>
          </w:tcPr>
          <w:p w:rsidR="008C51F5" w:rsidRPr="00202C58" w:rsidRDefault="00202C58"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trHeight w:hRule="exact" w:val="312"/>
        </w:trPr>
        <w:tc>
          <w:tcPr>
            <w:tcW w:w="15730" w:type="dxa"/>
            <w:gridSpan w:val="5"/>
            <w:shd w:val="clear" w:color="auto" w:fill="ACB9CA" w:themeFill="text2" w:themeFillTint="66"/>
            <w:tcMar>
              <w:top w:w="57" w:type="dxa"/>
              <w:bottom w:w="57" w:type="dxa"/>
            </w:tcMar>
          </w:tcPr>
          <w:p w:rsidR="008C51F5" w:rsidRPr="00202C58" w:rsidRDefault="008C51F5" w:rsidP="000E2596">
            <w:pPr>
              <w:pStyle w:val="ListParagraph"/>
              <w:numPr>
                <w:ilvl w:val="0"/>
                <w:numId w:val="1"/>
              </w:numPr>
              <w:ind w:left="426" w:hanging="142"/>
              <w:rPr>
                <w:rFonts w:cs="Arial"/>
                <w:b/>
                <w:sz w:val="18"/>
                <w:szCs w:val="18"/>
              </w:rPr>
            </w:pPr>
            <w:r w:rsidRPr="00202C58">
              <w:rPr>
                <w:rFonts w:cs="Arial"/>
                <w:b/>
                <w:sz w:val="18"/>
                <w:szCs w:val="18"/>
              </w:rPr>
              <w:t>Other approaches</w:t>
            </w:r>
          </w:p>
        </w:tc>
      </w:tr>
      <w:tr w:rsidR="008C51F5" w:rsidRPr="00202C58" w:rsidTr="000E2596">
        <w:tc>
          <w:tcPr>
            <w:tcW w:w="1696"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Desired outcome</w:t>
            </w:r>
          </w:p>
        </w:tc>
        <w:tc>
          <w:tcPr>
            <w:tcW w:w="1843"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Chosen action/approach</w:t>
            </w:r>
          </w:p>
        </w:tc>
        <w:tc>
          <w:tcPr>
            <w:tcW w:w="4933" w:type="dxa"/>
            <w:tcMar>
              <w:top w:w="57" w:type="dxa"/>
              <w:bottom w:w="57" w:type="dxa"/>
            </w:tcMar>
          </w:tcPr>
          <w:p w:rsidR="008C51F5" w:rsidRPr="00202C58" w:rsidRDefault="008C51F5" w:rsidP="000E2596">
            <w:pPr>
              <w:rPr>
                <w:rFonts w:cs="Arial"/>
                <w:sz w:val="18"/>
                <w:szCs w:val="18"/>
              </w:rPr>
            </w:pPr>
            <w:r w:rsidRPr="00202C58">
              <w:rPr>
                <w:rFonts w:cs="Arial"/>
                <w:b/>
                <w:sz w:val="18"/>
                <w:szCs w:val="18"/>
              </w:rPr>
              <w:t xml:space="preserve">Estimated impact: </w:t>
            </w:r>
            <w:r w:rsidRPr="00202C58">
              <w:rPr>
                <w:rFonts w:cs="Arial"/>
                <w:sz w:val="18"/>
                <w:szCs w:val="18"/>
              </w:rPr>
              <w:t>Did you meet the success criteria? Include impact on pupils not eligible for PP, if appropriate.</w:t>
            </w:r>
          </w:p>
        </w:tc>
        <w:tc>
          <w:tcPr>
            <w:tcW w:w="6124"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 xml:space="preserve">Lessons learned </w:t>
            </w:r>
          </w:p>
          <w:p w:rsidR="008C51F5" w:rsidRPr="00202C58" w:rsidRDefault="008C51F5" w:rsidP="000E2596">
            <w:pPr>
              <w:rPr>
                <w:rFonts w:cs="Arial"/>
                <w:b/>
                <w:sz w:val="18"/>
                <w:szCs w:val="18"/>
              </w:rPr>
            </w:pPr>
            <w:r w:rsidRPr="00202C58">
              <w:rPr>
                <w:rFonts w:cs="Arial"/>
                <w:sz w:val="18"/>
                <w:szCs w:val="18"/>
              </w:rPr>
              <w:t>(and whether you will continue with this approach)</w:t>
            </w:r>
          </w:p>
        </w:tc>
        <w:tc>
          <w:tcPr>
            <w:tcW w:w="1134" w:type="dxa"/>
          </w:tcPr>
          <w:p w:rsidR="008C51F5" w:rsidRPr="00202C58" w:rsidRDefault="008C51F5" w:rsidP="000E2596">
            <w:pPr>
              <w:rPr>
                <w:rFonts w:cs="Arial"/>
                <w:b/>
                <w:sz w:val="18"/>
                <w:szCs w:val="18"/>
              </w:rPr>
            </w:pPr>
            <w:r w:rsidRPr="00202C58">
              <w:rPr>
                <w:rFonts w:cs="Arial"/>
                <w:b/>
                <w:sz w:val="18"/>
                <w:szCs w:val="18"/>
              </w:rPr>
              <w:t>Cost</w:t>
            </w: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Raise attainment through improved attendance.</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EWO bought in services, attendance rewards for classes, prompt response to dropping attendance.</w:t>
            </w:r>
          </w:p>
        </w:tc>
        <w:tc>
          <w:tcPr>
            <w:tcW w:w="4933" w:type="dxa"/>
            <w:tcMar>
              <w:top w:w="57" w:type="dxa"/>
              <w:bottom w:w="57" w:type="dxa"/>
            </w:tcMar>
          </w:tcPr>
          <w:p w:rsidR="008C51F5" w:rsidRPr="00202C58" w:rsidRDefault="00202C58" w:rsidP="000E2596">
            <w:pPr>
              <w:rPr>
                <w:rFonts w:cstheme="minorHAnsi"/>
                <w:sz w:val="18"/>
                <w:szCs w:val="18"/>
              </w:rPr>
            </w:pPr>
            <w:r>
              <w:rPr>
                <w:rFonts w:cstheme="minorHAnsi"/>
                <w:sz w:val="18"/>
                <w:szCs w:val="18"/>
              </w:rPr>
              <w:t xml:space="preserve">Attendance target was </w:t>
            </w:r>
            <w:proofErr w:type="gramStart"/>
            <w:r>
              <w:rPr>
                <w:rFonts w:cstheme="minorHAnsi"/>
                <w:sz w:val="18"/>
                <w:szCs w:val="18"/>
              </w:rPr>
              <w:t>missed,</w:t>
            </w:r>
            <w:proofErr w:type="gramEnd"/>
            <w:r>
              <w:rPr>
                <w:rFonts w:cstheme="minorHAnsi"/>
                <w:sz w:val="18"/>
                <w:szCs w:val="18"/>
              </w:rPr>
              <w:t xml:space="preserve"> end of yr </w:t>
            </w:r>
            <w:r w:rsidR="0095528F">
              <w:rPr>
                <w:rFonts w:cstheme="minorHAnsi"/>
                <w:sz w:val="18"/>
                <w:szCs w:val="18"/>
              </w:rPr>
              <w:t xml:space="preserve">attendance was 93% with 18.9% persistent absenteeism. EWO has been involved with a number of families. </w:t>
            </w:r>
            <w:r>
              <w:rPr>
                <w:rFonts w:cstheme="minorHAnsi"/>
                <w:sz w:val="18"/>
                <w:szCs w:val="18"/>
              </w:rPr>
              <w:t xml:space="preserve"> </w:t>
            </w:r>
          </w:p>
        </w:tc>
        <w:tc>
          <w:tcPr>
            <w:tcW w:w="6124" w:type="dxa"/>
            <w:tcMar>
              <w:top w:w="57" w:type="dxa"/>
              <w:bottom w:w="57" w:type="dxa"/>
            </w:tcMar>
          </w:tcPr>
          <w:p w:rsidR="008C51F5" w:rsidRPr="00202C58" w:rsidRDefault="0095528F" w:rsidP="000E2596">
            <w:pPr>
              <w:rPr>
                <w:rFonts w:cs="Arial"/>
                <w:sz w:val="18"/>
                <w:szCs w:val="18"/>
              </w:rPr>
            </w:pPr>
            <w:r>
              <w:rPr>
                <w:rFonts w:cs="Arial"/>
                <w:sz w:val="18"/>
                <w:szCs w:val="18"/>
              </w:rPr>
              <w:t>Review program, Safeguarding leader will take over attendance group and work closer with the PSA and target parents to reduce the persistent abs down to near national averages for 2019-20</w:t>
            </w:r>
          </w:p>
        </w:tc>
        <w:tc>
          <w:tcPr>
            <w:tcW w:w="1134" w:type="dxa"/>
            <w:vMerge w:val="restart"/>
          </w:tcPr>
          <w:p w:rsidR="008C51F5" w:rsidRPr="00202C58" w:rsidRDefault="008C51F5" w:rsidP="000E2596">
            <w:pPr>
              <w:rPr>
                <w:rFonts w:cs="Arial"/>
                <w:sz w:val="18"/>
                <w:szCs w:val="18"/>
              </w:rPr>
            </w:pPr>
            <w:r w:rsidRPr="00202C58">
              <w:rPr>
                <w:rFonts w:cs="Arial"/>
                <w:sz w:val="18"/>
                <w:szCs w:val="18"/>
              </w:rPr>
              <w:t>£28,000</w:t>
            </w: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Pupils arrive at school ready to </w:t>
            </w:r>
            <w:proofErr w:type="gramStart"/>
            <w:r w:rsidRPr="00202C58">
              <w:rPr>
                <w:rFonts w:cstheme="minorHAnsi"/>
                <w:sz w:val="18"/>
                <w:szCs w:val="18"/>
              </w:rPr>
              <w:t>learn,</w:t>
            </w:r>
            <w:proofErr w:type="gramEnd"/>
            <w:r w:rsidRPr="00202C58">
              <w:rPr>
                <w:rFonts w:cstheme="minorHAnsi"/>
                <w:sz w:val="18"/>
                <w:szCs w:val="18"/>
              </w:rPr>
              <w:t xml:space="preserve"> continue to remain in 'education' during holiday periods.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Continue to subsidised attendance at Breakfast club, provision of holiday clubs</w:t>
            </w:r>
          </w:p>
        </w:tc>
        <w:tc>
          <w:tcPr>
            <w:tcW w:w="4933" w:type="dxa"/>
            <w:tcMar>
              <w:top w:w="57" w:type="dxa"/>
              <w:bottom w:w="57" w:type="dxa"/>
            </w:tcMar>
          </w:tcPr>
          <w:p w:rsidR="008C51F5" w:rsidRPr="00202C58" w:rsidRDefault="0095528F" w:rsidP="000E2596">
            <w:pPr>
              <w:rPr>
                <w:rFonts w:cstheme="minorHAnsi"/>
                <w:sz w:val="18"/>
                <w:szCs w:val="18"/>
              </w:rPr>
            </w:pPr>
            <w:r>
              <w:rPr>
                <w:rFonts w:cstheme="minorHAnsi"/>
                <w:sz w:val="18"/>
                <w:szCs w:val="18"/>
              </w:rPr>
              <w:t xml:space="preserve">Positive </w:t>
            </w:r>
            <w:proofErr w:type="gramStart"/>
            <w:r>
              <w:rPr>
                <w:rFonts w:cstheme="minorHAnsi"/>
                <w:sz w:val="18"/>
                <w:szCs w:val="18"/>
              </w:rPr>
              <w:t>impact</w:t>
            </w:r>
            <w:proofErr w:type="gramEnd"/>
            <w:r>
              <w:rPr>
                <w:rFonts w:cstheme="minorHAnsi"/>
                <w:sz w:val="18"/>
                <w:szCs w:val="18"/>
              </w:rPr>
              <w:t xml:space="preserve"> for a number of pupils especially those with poor attendance having a positive start to their day. </w:t>
            </w:r>
          </w:p>
        </w:tc>
        <w:tc>
          <w:tcPr>
            <w:tcW w:w="6124" w:type="dxa"/>
            <w:tcMar>
              <w:top w:w="57" w:type="dxa"/>
              <w:bottom w:w="57" w:type="dxa"/>
            </w:tcMar>
          </w:tcPr>
          <w:p w:rsidR="008C51F5" w:rsidRPr="00202C58" w:rsidRDefault="0095528F"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591"/>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Increase parents’ involvement in school and increasing their engagement with pupils’ learning.</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Parental support advisor to run parent skills workshop and provide an additional link tie the community.</w:t>
            </w:r>
          </w:p>
          <w:p w:rsidR="008C51F5" w:rsidRPr="00202C58" w:rsidRDefault="008C51F5" w:rsidP="000E2596">
            <w:pPr>
              <w:rPr>
                <w:rFonts w:cstheme="minorHAnsi"/>
                <w:sz w:val="18"/>
                <w:szCs w:val="18"/>
              </w:rPr>
            </w:pPr>
          </w:p>
        </w:tc>
        <w:tc>
          <w:tcPr>
            <w:tcW w:w="4933" w:type="dxa"/>
            <w:tcMar>
              <w:top w:w="57" w:type="dxa"/>
              <w:bottom w:w="57" w:type="dxa"/>
            </w:tcMar>
          </w:tcPr>
          <w:p w:rsidR="008C51F5" w:rsidRDefault="0095528F" w:rsidP="000E2596">
            <w:pPr>
              <w:rPr>
                <w:rFonts w:cstheme="minorHAnsi"/>
                <w:sz w:val="18"/>
                <w:szCs w:val="18"/>
              </w:rPr>
            </w:pPr>
            <w:proofErr w:type="gramStart"/>
            <w:r>
              <w:rPr>
                <w:rFonts w:cstheme="minorHAnsi"/>
                <w:sz w:val="18"/>
                <w:szCs w:val="18"/>
              </w:rPr>
              <w:t>Maths with parents had limited impact and will be re-launched in 2019-20</w:t>
            </w:r>
            <w:r w:rsidR="008C51F5" w:rsidRPr="00202C58">
              <w:rPr>
                <w:rFonts w:cstheme="minorHAnsi"/>
                <w:sz w:val="18"/>
                <w:szCs w:val="18"/>
              </w:rPr>
              <w:t>.</w:t>
            </w:r>
            <w:proofErr w:type="gramEnd"/>
          </w:p>
          <w:p w:rsidR="0095528F" w:rsidRPr="00202C58" w:rsidRDefault="0095528F" w:rsidP="000E2596">
            <w:pPr>
              <w:rPr>
                <w:rFonts w:cstheme="minorHAnsi"/>
                <w:sz w:val="18"/>
                <w:szCs w:val="18"/>
              </w:rPr>
            </w:pPr>
            <w:r>
              <w:rPr>
                <w:rFonts w:cstheme="minorHAnsi"/>
                <w:sz w:val="18"/>
                <w:szCs w:val="18"/>
              </w:rPr>
              <w:t>Morning activities are positive and parents enjoy time with their children in class.</w:t>
            </w:r>
          </w:p>
        </w:tc>
        <w:tc>
          <w:tcPr>
            <w:tcW w:w="6124" w:type="dxa"/>
            <w:tcMar>
              <w:top w:w="57" w:type="dxa"/>
              <w:bottom w:w="57" w:type="dxa"/>
            </w:tcMar>
          </w:tcPr>
          <w:p w:rsidR="008C51F5" w:rsidRPr="00202C58" w:rsidRDefault="0095528F"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bl>
    <w:p w:rsidR="007A3DFB" w:rsidRPr="00202C58" w:rsidRDefault="00BD0463" w:rsidP="000C614A"/>
    <w:sectPr w:rsidR="007A3DFB" w:rsidRPr="00202C58" w:rsidSect="000C614A">
      <w:pgSz w:w="16838" w:h="11906" w:orient="landscape"/>
      <w:pgMar w:top="426" w:right="53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A97"/>
    <w:multiLevelType w:val="hybridMultilevel"/>
    <w:tmpl w:val="355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0C614A"/>
    <w:rsid w:val="00027FDC"/>
    <w:rsid w:val="000C614A"/>
    <w:rsid w:val="000E2596"/>
    <w:rsid w:val="001433D5"/>
    <w:rsid w:val="00202C58"/>
    <w:rsid w:val="00206C25"/>
    <w:rsid w:val="002525FD"/>
    <w:rsid w:val="002810FE"/>
    <w:rsid w:val="00340878"/>
    <w:rsid w:val="004C6DCE"/>
    <w:rsid w:val="004E4239"/>
    <w:rsid w:val="004F366A"/>
    <w:rsid w:val="00686D1D"/>
    <w:rsid w:val="006B54F3"/>
    <w:rsid w:val="00744C21"/>
    <w:rsid w:val="008C51F5"/>
    <w:rsid w:val="008F7327"/>
    <w:rsid w:val="0095528F"/>
    <w:rsid w:val="00A86339"/>
    <w:rsid w:val="00AE49E1"/>
    <w:rsid w:val="00BA2882"/>
    <w:rsid w:val="00BD0463"/>
    <w:rsid w:val="00C21F3C"/>
    <w:rsid w:val="00C82824"/>
    <w:rsid w:val="00E261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4A"/>
    <w:pPr>
      <w:ind w:left="720"/>
    </w:pPr>
  </w:style>
  <w:style w:type="table" w:styleId="TableGrid">
    <w:name w:val="Table Grid"/>
    <w:basedOn w:val="TableNormal"/>
    <w:uiPriority w:val="59"/>
    <w:rsid w:val="000C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614A"/>
    <w:pPr>
      <w:autoSpaceDE w:val="0"/>
      <w:autoSpaceDN w:val="0"/>
      <w:adjustRightInd w:val="0"/>
      <w:spacing w:after="0" w:line="240" w:lineRule="auto"/>
    </w:pPr>
    <w:rPr>
      <w:rFonts w:ascii="Arial" w:hAnsi="Arial" w:cs="Arial"/>
      <w:color w:val="000000"/>
      <w:sz w:val="24"/>
      <w:szCs w:val="24"/>
    </w:rPr>
  </w:style>
  <w:style w:type="table" w:styleId="LightList-Accent2">
    <w:name w:val="Light List Accent 2"/>
    <w:basedOn w:val="TableNormal"/>
    <w:uiPriority w:val="61"/>
    <w:rsid w:val="001433D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Roberts</dc:creator>
  <cp:lastModifiedBy>J Roberts</cp:lastModifiedBy>
  <cp:revision>9</cp:revision>
  <dcterms:created xsi:type="dcterms:W3CDTF">2019-10-06T16:51:00Z</dcterms:created>
  <dcterms:modified xsi:type="dcterms:W3CDTF">2019-10-06T17:22:00Z</dcterms:modified>
</cp:coreProperties>
</file>