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76"/>
        <w:tblW w:w="15730" w:type="dxa"/>
        <w:tblLayout w:type="fixed"/>
        <w:tblLook w:val="04A0" w:firstRow="1" w:lastRow="0" w:firstColumn="1" w:lastColumn="0" w:noHBand="0" w:noVBand="1"/>
      </w:tblPr>
      <w:tblGrid>
        <w:gridCol w:w="1696"/>
        <w:gridCol w:w="1843"/>
        <w:gridCol w:w="4933"/>
        <w:gridCol w:w="6124"/>
        <w:gridCol w:w="1134"/>
      </w:tblGrid>
      <w:tr w:rsidR="000C614A" w:rsidRPr="00B73055" w:rsidTr="000C614A">
        <w:tc>
          <w:tcPr>
            <w:tcW w:w="15730" w:type="dxa"/>
            <w:gridSpan w:val="5"/>
            <w:shd w:val="clear" w:color="auto" w:fill="CFDCE3"/>
            <w:tcMar>
              <w:top w:w="57" w:type="dxa"/>
              <w:bottom w:w="57" w:type="dxa"/>
            </w:tcMar>
          </w:tcPr>
          <w:p w:rsidR="000C614A" w:rsidRPr="00B73055" w:rsidRDefault="000C614A" w:rsidP="00783A9B">
            <w:pPr>
              <w:ind w:left="142"/>
              <w:jc w:val="center"/>
              <w:rPr>
                <w:rFonts w:ascii="Arial" w:hAnsi="Arial" w:cs="Arial"/>
                <w:b/>
                <w:sz w:val="24"/>
                <w:szCs w:val="24"/>
              </w:rPr>
            </w:pPr>
            <w:r w:rsidRPr="00B73055">
              <w:rPr>
                <w:rFonts w:ascii="Arial" w:hAnsi="Arial" w:cs="Arial"/>
                <w:b/>
                <w:sz w:val="24"/>
                <w:szCs w:val="24"/>
              </w:rPr>
              <w:t>Previous Academic Year Review of expenditure 2017-18</w:t>
            </w:r>
          </w:p>
        </w:tc>
      </w:tr>
      <w:tr w:rsidR="000C614A" w:rsidRPr="00B73055" w:rsidTr="000C614A">
        <w:tc>
          <w:tcPr>
            <w:tcW w:w="15730" w:type="dxa"/>
            <w:gridSpan w:val="5"/>
            <w:shd w:val="clear" w:color="auto" w:fill="ACB9CA" w:themeFill="text2" w:themeFillTint="66"/>
            <w:tcMar>
              <w:top w:w="57" w:type="dxa"/>
              <w:bottom w:w="57" w:type="dxa"/>
            </w:tcMar>
          </w:tcPr>
          <w:p w:rsidR="000C614A" w:rsidRPr="00B73055" w:rsidRDefault="000C614A" w:rsidP="000C614A">
            <w:pPr>
              <w:pStyle w:val="ListParagraph"/>
              <w:numPr>
                <w:ilvl w:val="0"/>
                <w:numId w:val="1"/>
              </w:numPr>
              <w:ind w:left="426" w:hanging="142"/>
              <w:rPr>
                <w:rFonts w:ascii="Arial" w:hAnsi="Arial" w:cs="Arial"/>
                <w:b/>
                <w:sz w:val="18"/>
                <w:szCs w:val="18"/>
              </w:rPr>
            </w:pPr>
            <w:r w:rsidRPr="00B73055">
              <w:rPr>
                <w:rFonts w:ascii="Arial" w:hAnsi="Arial" w:cs="Arial"/>
                <w:b/>
                <w:sz w:val="18"/>
                <w:szCs w:val="18"/>
              </w:rPr>
              <w:t>Quality of teaching for all</w:t>
            </w:r>
          </w:p>
        </w:tc>
      </w:tr>
      <w:tr w:rsidR="000C614A" w:rsidRPr="00B73055" w:rsidTr="000C614A">
        <w:trPr>
          <w:trHeight w:val="57"/>
        </w:trPr>
        <w:tc>
          <w:tcPr>
            <w:tcW w:w="1696" w:type="dxa"/>
            <w:tcMar>
              <w:top w:w="57" w:type="dxa"/>
              <w:bottom w:w="57" w:type="dxa"/>
            </w:tcMar>
          </w:tcPr>
          <w:p w:rsidR="000C614A" w:rsidRPr="00B73055" w:rsidRDefault="000C614A" w:rsidP="00783A9B">
            <w:pPr>
              <w:rPr>
                <w:rFonts w:ascii="Arial" w:hAnsi="Arial" w:cs="Arial"/>
                <w:b/>
                <w:sz w:val="18"/>
                <w:szCs w:val="18"/>
              </w:rPr>
            </w:pPr>
            <w:r w:rsidRPr="00B73055">
              <w:rPr>
                <w:rFonts w:ascii="Arial" w:hAnsi="Arial" w:cs="Arial"/>
                <w:b/>
                <w:sz w:val="18"/>
                <w:szCs w:val="18"/>
              </w:rPr>
              <w:t>Desired outcome</w:t>
            </w:r>
          </w:p>
        </w:tc>
        <w:tc>
          <w:tcPr>
            <w:tcW w:w="1843" w:type="dxa"/>
            <w:tcMar>
              <w:top w:w="57" w:type="dxa"/>
              <w:bottom w:w="57" w:type="dxa"/>
            </w:tcMar>
          </w:tcPr>
          <w:p w:rsidR="000C614A" w:rsidRPr="00B73055" w:rsidRDefault="000C614A" w:rsidP="00783A9B">
            <w:pPr>
              <w:rPr>
                <w:rFonts w:ascii="Arial" w:hAnsi="Arial" w:cs="Arial"/>
                <w:b/>
                <w:sz w:val="18"/>
                <w:szCs w:val="18"/>
              </w:rPr>
            </w:pPr>
            <w:r w:rsidRPr="00B73055">
              <w:rPr>
                <w:rFonts w:ascii="Arial" w:hAnsi="Arial" w:cs="Arial"/>
                <w:b/>
                <w:sz w:val="18"/>
                <w:szCs w:val="18"/>
              </w:rPr>
              <w:t>Chosen action/approach</w:t>
            </w:r>
          </w:p>
        </w:tc>
        <w:tc>
          <w:tcPr>
            <w:tcW w:w="4933" w:type="dxa"/>
            <w:tcMar>
              <w:top w:w="57" w:type="dxa"/>
              <w:bottom w:w="57" w:type="dxa"/>
            </w:tcMar>
          </w:tcPr>
          <w:p w:rsidR="000C614A" w:rsidRPr="00B73055" w:rsidRDefault="000C614A" w:rsidP="00783A9B">
            <w:pPr>
              <w:rPr>
                <w:rFonts w:ascii="Arial" w:hAnsi="Arial" w:cs="Arial"/>
                <w:sz w:val="18"/>
                <w:szCs w:val="18"/>
              </w:rPr>
            </w:pPr>
            <w:r w:rsidRPr="00B73055">
              <w:rPr>
                <w:rFonts w:ascii="Arial" w:hAnsi="Arial" w:cs="Arial"/>
                <w:b/>
                <w:sz w:val="18"/>
                <w:szCs w:val="18"/>
              </w:rPr>
              <w:t xml:space="preserve">Impact: </w:t>
            </w:r>
            <w:r w:rsidRPr="00B73055">
              <w:rPr>
                <w:rFonts w:ascii="Arial" w:hAnsi="Arial" w:cs="Arial"/>
                <w:sz w:val="18"/>
                <w:szCs w:val="18"/>
              </w:rPr>
              <w:t>Did you meet the success criteria? Include impact on pupils not eligible for PP, if appropriate.</w:t>
            </w:r>
          </w:p>
        </w:tc>
        <w:tc>
          <w:tcPr>
            <w:tcW w:w="6124" w:type="dxa"/>
            <w:tcMar>
              <w:top w:w="57" w:type="dxa"/>
              <w:bottom w:w="57" w:type="dxa"/>
            </w:tcMar>
          </w:tcPr>
          <w:p w:rsidR="000C614A" w:rsidRPr="00B73055" w:rsidRDefault="000C614A" w:rsidP="00783A9B">
            <w:pPr>
              <w:rPr>
                <w:rFonts w:ascii="Arial" w:hAnsi="Arial" w:cs="Arial"/>
                <w:b/>
                <w:sz w:val="18"/>
                <w:szCs w:val="18"/>
              </w:rPr>
            </w:pPr>
            <w:r w:rsidRPr="00B73055">
              <w:rPr>
                <w:rFonts w:ascii="Arial" w:hAnsi="Arial" w:cs="Arial"/>
                <w:b/>
                <w:sz w:val="18"/>
                <w:szCs w:val="18"/>
              </w:rPr>
              <w:t xml:space="preserve">Lessons learned </w:t>
            </w:r>
          </w:p>
          <w:p w:rsidR="000C614A" w:rsidRPr="00B73055" w:rsidRDefault="000C614A" w:rsidP="00783A9B">
            <w:pPr>
              <w:rPr>
                <w:rFonts w:ascii="Arial" w:hAnsi="Arial" w:cs="Arial"/>
                <w:b/>
                <w:sz w:val="18"/>
                <w:szCs w:val="18"/>
              </w:rPr>
            </w:pPr>
            <w:r w:rsidRPr="00B73055">
              <w:rPr>
                <w:rFonts w:ascii="Arial" w:hAnsi="Arial" w:cs="Arial"/>
                <w:sz w:val="18"/>
                <w:szCs w:val="18"/>
              </w:rPr>
              <w:t>(and whether you will continue with this approach)</w:t>
            </w:r>
          </w:p>
        </w:tc>
        <w:tc>
          <w:tcPr>
            <w:tcW w:w="1134" w:type="dxa"/>
          </w:tcPr>
          <w:p w:rsidR="000C614A" w:rsidRPr="00B73055" w:rsidRDefault="000C614A" w:rsidP="00783A9B">
            <w:pPr>
              <w:rPr>
                <w:rFonts w:ascii="Arial" w:hAnsi="Arial" w:cs="Arial"/>
                <w:b/>
                <w:sz w:val="18"/>
                <w:szCs w:val="18"/>
              </w:rPr>
            </w:pPr>
            <w:r w:rsidRPr="00B73055">
              <w:rPr>
                <w:rFonts w:ascii="Arial" w:hAnsi="Arial" w:cs="Arial"/>
                <w:b/>
                <w:sz w:val="18"/>
                <w:szCs w:val="18"/>
              </w:rPr>
              <w:t>Cost</w:t>
            </w:r>
          </w:p>
        </w:tc>
      </w:tr>
      <w:tr w:rsidR="000C614A" w:rsidRPr="00B73055" w:rsidTr="000C614A">
        <w:trPr>
          <w:trHeight w:hRule="exact" w:val="2197"/>
        </w:trPr>
        <w:tc>
          <w:tcPr>
            <w:tcW w:w="1696" w:type="dxa"/>
            <w:tcMar>
              <w:top w:w="57" w:type="dxa"/>
              <w:bottom w:w="57" w:type="dxa"/>
            </w:tcMar>
          </w:tcPr>
          <w:p w:rsidR="000C614A" w:rsidRDefault="000C614A" w:rsidP="00783A9B">
            <w:pPr>
              <w:rPr>
                <w:rFonts w:ascii="Arial" w:hAnsi="Arial" w:cs="Arial"/>
                <w:sz w:val="18"/>
                <w:szCs w:val="18"/>
              </w:rPr>
            </w:pPr>
            <w:r>
              <w:rPr>
                <w:rFonts w:ascii="Arial" w:hAnsi="Arial" w:cs="Arial"/>
                <w:sz w:val="18"/>
                <w:szCs w:val="18"/>
              </w:rPr>
              <w:t>Pupils receive high quality teaching</w:t>
            </w:r>
          </w:p>
          <w:p w:rsidR="000C614A" w:rsidRDefault="000C614A" w:rsidP="00783A9B">
            <w:pPr>
              <w:rPr>
                <w:rFonts w:ascii="Arial" w:hAnsi="Arial" w:cs="Arial"/>
                <w:sz w:val="18"/>
                <w:szCs w:val="18"/>
              </w:rPr>
            </w:pPr>
          </w:p>
          <w:p w:rsidR="000C614A" w:rsidRDefault="000C614A" w:rsidP="00783A9B">
            <w:pPr>
              <w:rPr>
                <w:rFonts w:ascii="Arial" w:hAnsi="Arial" w:cs="Arial"/>
                <w:sz w:val="18"/>
                <w:szCs w:val="18"/>
              </w:rPr>
            </w:pPr>
          </w:p>
          <w:p w:rsidR="000C614A" w:rsidRPr="00B73055" w:rsidRDefault="000C614A" w:rsidP="00783A9B">
            <w:pPr>
              <w:rPr>
                <w:rFonts w:ascii="Arial" w:hAnsi="Arial" w:cs="Arial"/>
                <w:sz w:val="18"/>
                <w:szCs w:val="18"/>
              </w:rPr>
            </w:pPr>
            <w:r>
              <w:rPr>
                <w:rFonts w:ascii="Arial" w:hAnsi="Arial" w:cs="Arial"/>
                <w:sz w:val="18"/>
                <w:szCs w:val="18"/>
              </w:rPr>
              <w:t>Ethos of learning created</w:t>
            </w:r>
          </w:p>
        </w:tc>
        <w:tc>
          <w:tcPr>
            <w:tcW w:w="1843" w:type="dxa"/>
            <w:tcMar>
              <w:top w:w="57" w:type="dxa"/>
              <w:bottom w:w="57" w:type="dxa"/>
            </w:tcMar>
          </w:tcPr>
          <w:p w:rsidR="000C614A" w:rsidRDefault="000C614A" w:rsidP="00783A9B">
            <w:pPr>
              <w:pStyle w:val="Default"/>
              <w:rPr>
                <w:color w:val="auto"/>
                <w:sz w:val="18"/>
                <w:szCs w:val="18"/>
              </w:rPr>
            </w:pPr>
            <w:r>
              <w:rPr>
                <w:color w:val="auto"/>
                <w:sz w:val="18"/>
                <w:szCs w:val="18"/>
              </w:rPr>
              <w:t>Staff training and greater accountability.</w:t>
            </w:r>
          </w:p>
          <w:p w:rsidR="000C614A" w:rsidRDefault="000C614A" w:rsidP="00783A9B">
            <w:pPr>
              <w:pStyle w:val="Default"/>
              <w:rPr>
                <w:color w:val="auto"/>
                <w:sz w:val="18"/>
                <w:szCs w:val="18"/>
              </w:rPr>
            </w:pPr>
          </w:p>
          <w:p w:rsidR="000C614A" w:rsidRDefault="000C614A" w:rsidP="00783A9B">
            <w:pPr>
              <w:pStyle w:val="Default"/>
              <w:rPr>
                <w:color w:val="auto"/>
                <w:sz w:val="18"/>
                <w:szCs w:val="18"/>
              </w:rPr>
            </w:pPr>
          </w:p>
          <w:p w:rsidR="000C614A" w:rsidRPr="00B73055" w:rsidRDefault="000C614A" w:rsidP="00783A9B">
            <w:pPr>
              <w:pStyle w:val="Default"/>
              <w:rPr>
                <w:color w:val="auto"/>
                <w:sz w:val="18"/>
                <w:szCs w:val="18"/>
              </w:rPr>
            </w:pPr>
            <w:r>
              <w:rPr>
                <w:color w:val="auto"/>
                <w:sz w:val="18"/>
                <w:szCs w:val="18"/>
              </w:rPr>
              <w:t>Introduce visible learning, VL, across school.</w:t>
            </w:r>
          </w:p>
        </w:tc>
        <w:tc>
          <w:tcPr>
            <w:tcW w:w="4933" w:type="dxa"/>
            <w:tcMar>
              <w:top w:w="57" w:type="dxa"/>
              <w:bottom w:w="57" w:type="dxa"/>
            </w:tcMar>
          </w:tcPr>
          <w:p w:rsidR="000C614A" w:rsidRDefault="000C614A" w:rsidP="00783A9B">
            <w:pPr>
              <w:pStyle w:val="Default"/>
              <w:rPr>
                <w:sz w:val="18"/>
                <w:szCs w:val="18"/>
              </w:rPr>
            </w:pPr>
            <w:r>
              <w:rPr>
                <w:sz w:val="18"/>
                <w:szCs w:val="18"/>
              </w:rPr>
              <w:t>Attainment and progress in the statutory assessments was weak for all pupils including the PP group. Pockets of good practice in school were evident and need to be expanded across the whole school.</w:t>
            </w:r>
          </w:p>
          <w:p w:rsidR="000C614A" w:rsidRDefault="000C614A" w:rsidP="00783A9B">
            <w:pPr>
              <w:pStyle w:val="Default"/>
              <w:rPr>
                <w:sz w:val="18"/>
                <w:szCs w:val="18"/>
              </w:rPr>
            </w:pPr>
          </w:p>
          <w:p w:rsidR="000C614A" w:rsidRPr="00B73055" w:rsidRDefault="000C614A" w:rsidP="000C614A">
            <w:pPr>
              <w:pStyle w:val="Default"/>
              <w:rPr>
                <w:sz w:val="18"/>
                <w:szCs w:val="18"/>
              </w:rPr>
            </w:pPr>
            <w:r>
              <w:rPr>
                <w:sz w:val="18"/>
                <w:szCs w:val="18"/>
              </w:rPr>
              <w:t>VL and the learning dispositions introduced. Pupils’ reactions were positive and began to take ownership of the learning. This will continue to be a focus next year.</w:t>
            </w:r>
          </w:p>
        </w:tc>
        <w:tc>
          <w:tcPr>
            <w:tcW w:w="6124" w:type="dxa"/>
            <w:tcMar>
              <w:top w:w="57" w:type="dxa"/>
              <w:bottom w:w="57" w:type="dxa"/>
            </w:tcMar>
          </w:tcPr>
          <w:p w:rsidR="000C614A" w:rsidRDefault="000C614A" w:rsidP="00027FDC">
            <w:pPr>
              <w:pStyle w:val="Default"/>
              <w:rPr>
                <w:color w:val="auto"/>
                <w:sz w:val="18"/>
                <w:szCs w:val="18"/>
              </w:rPr>
            </w:pPr>
            <w:r>
              <w:rPr>
                <w:color w:val="auto"/>
                <w:sz w:val="18"/>
                <w:szCs w:val="18"/>
              </w:rPr>
              <w:t xml:space="preserve">Staff knowledge and skills </w:t>
            </w:r>
            <w:r w:rsidR="004C6DCE">
              <w:rPr>
                <w:color w:val="auto"/>
                <w:sz w:val="18"/>
                <w:szCs w:val="18"/>
              </w:rPr>
              <w:t xml:space="preserve">continue to </w:t>
            </w:r>
            <w:r>
              <w:rPr>
                <w:color w:val="auto"/>
                <w:sz w:val="18"/>
                <w:szCs w:val="18"/>
              </w:rPr>
              <w:t xml:space="preserve">need to be developed, </w:t>
            </w:r>
            <w:r w:rsidR="00027FDC">
              <w:rPr>
                <w:color w:val="auto"/>
                <w:sz w:val="18"/>
                <w:szCs w:val="18"/>
              </w:rPr>
              <w:t>there have been a numb</w:t>
            </w:r>
            <w:r w:rsidR="004C6DCE">
              <w:rPr>
                <w:color w:val="auto"/>
                <w:sz w:val="18"/>
                <w:szCs w:val="18"/>
              </w:rPr>
              <w:t>er of sign</w:t>
            </w:r>
            <w:r w:rsidR="008F7327">
              <w:rPr>
                <w:color w:val="auto"/>
                <w:sz w:val="18"/>
                <w:szCs w:val="18"/>
              </w:rPr>
              <w:t>ificant staff changes this year and greater emphasis on pupil’</w:t>
            </w:r>
            <w:bookmarkStart w:id="0" w:name="_GoBack"/>
            <w:bookmarkEnd w:id="0"/>
            <w:r w:rsidR="008F7327">
              <w:rPr>
                <w:color w:val="auto"/>
                <w:sz w:val="18"/>
                <w:szCs w:val="18"/>
              </w:rPr>
              <w:t>s starting points and maintaining progress.</w:t>
            </w:r>
          </w:p>
          <w:p w:rsidR="00027FDC" w:rsidRDefault="00027FDC" w:rsidP="00027FDC">
            <w:pPr>
              <w:pStyle w:val="Default"/>
              <w:rPr>
                <w:color w:val="auto"/>
                <w:sz w:val="18"/>
                <w:szCs w:val="18"/>
              </w:rPr>
            </w:pPr>
          </w:p>
          <w:p w:rsidR="00027FDC" w:rsidRDefault="00027FDC" w:rsidP="00027FDC">
            <w:pPr>
              <w:pStyle w:val="Default"/>
              <w:rPr>
                <w:color w:val="auto"/>
                <w:sz w:val="18"/>
                <w:szCs w:val="18"/>
              </w:rPr>
            </w:pPr>
          </w:p>
          <w:p w:rsidR="00027FDC" w:rsidRDefault="00027FDC" w:rsidP="00027FDC">
            <w:pPr>
              <w:pStyle w:val="Default"/>
              <w:rPr>
                <w:color w:val="auto"/>
                <w:sz w:val="18"/>
                <w:szCs w:val="18"/>
              </w:rPr>
            </w:pPr>
          </w:p>
          <w:p w:rsidR="00027FDC" w:rsidRPr="00B73055" w:rsidRDefault="00027FDC" w:rsidP="008F7327">
            <w:pPr>
              <w:pStyle w:val="Default"/>
              <w:rPr>
                <w:color w:val="auto"/>
                <w:sz w:val="18"/>
                <w:szCs w:val="18"/>
              </w:rPr>
            </w:pPr>
            <w:r>
              <w:rPr>
                <w:color w:val="auto"/>
                <w:sz w:val="18"/>
                <w:szCs w:val="18"/>
              </w:rPr>
              <w:t xml:space="preserve">VL continues to be an important initiative across all Reach South schools, indications from the first year are positive as attitudes to learning are changing </w:t>
            </w:r>
            <w:r w:rsidR="008F7327">
              <w:rPr>
                <w:color w:val="auto"/>
                <w:sz w:val="18"/>
                <w:szCs w:val="18"/>
              </w:rPr>
              <w:t xml:space="preserve">with the </w:t>
            </w:r>
            <w:r>
              <w:rPr>
                <w:color w:val="auto"/>
                <w:sz w:val="18"/>
                <w:szCs w:val="18"/>
              </w:rPr>
              <w:t>children taking more ownership of their learning. Continue with this into year two.</w:t>
            </w:r>
          </w:p>
        </w:tc>
        <w:tc>
          <w:tcPr>
            <w:tcW w:w="1134" w:type="dxa"/>
          </w:tcPr>
          <w:p w:rsidR="000C614A" w:rsidRPr="00B73055" w:rsidRDefault="000C614A" w:rsidP="00783A9B">
            <w:pPr>
              <w:rPr>
                <w:rFonts w:ascii="Arial" w:hAnsi="Arial" w:cs="Arial"/>
                <w:sz w:val="18"/>
                <w:szCs w:val="18"/>
              </w:rPr>
            </w:pPr>
            <w:r>
              <w:rPr>
                <w:rFonts w:ascii="Arial" w:hAnsi="Arial" w:cs="Arial"/>
                <w:sz w:val="18"/>
                <w:szCs w:val="18"/>
              </w:rPr>
              <w:t>£3</w:t>
            </w:r>
            <w:r w:rsidR="004F366A">
              <w:rPr>
                <w:rFonts w:ascii="Arial" w:hAnsi="Arial" w:cs="Arial"/>
                <w:sz w:val="18"/>
                <w:szCs w:val="18"/>
              </w:rPr>
              <w:t>,</w:t>
            </w:r>
            <w:r>
              <w:rPr>
                <w:rFonts w:ascii="Arial" w:hAnsi="Arial" w:cs="Arial"/>
                <w:sz w:val="18"/>
                <w:szCs w:val="18"/>
              </w:rPr>
              <w:t>000</w:t>
            </w:r>
          </w:p>
        </w:tc>
      </w:tr>
      <w:tr w:rsidR="000C614A" w:rsidRPr="00B73055" w:rsidTr="000C614A">
        <w:trPr>
          <w:trHeight w:hRule="exact" w:val="312"/>
        </w:trPr>
        <w:tc>
          <w:tcPr>
            <w:tcW w:w="15730" w:type="dxa"/>
            <w:gridSpan w:val="5"/>
            <w:shd w:val="clear" w:color="auto" w:fill="ACB9CA" w:themeFill="text2" w:themeFillTint="66"/>
            <w:tcMar>
              <w:top w:w="57" w:type="dxa"/>
              <w:bottom w:w="57" w:type="dxa"/>
            </w:tcMar>
          </w:tcPr>
          <w:p w:rsidR="000C614A" w:rsidRPr="00B73055" w:rsidRDefault="000C614A" w:rsidP="000C614A">
            <w:pPr>
              <w:pStyle w:val="ListParagraph"/>
              <w:numPr>
                <w:ilvl w:val="0"/>
                <w:numId w:val="1"/>
              </w:numPr>
              <w:ind w:left="426" w:hanging="142"/>
              <w:rPr>
                <w:rFonts w:ascii="Arial" w:hAnsi="Arial" w:cs="Arial"/>
                <w:b/>
                <w:sz w:val="18"/>
                <w:szCs w:val="18"/>
              </w:rPr>
            </w:pPr>
            <w:r w:rsidRPr="00B73055">
              <w:rPr>
                <w:rFonts w:ascii="Arial" w:hAnsi="Arial" w:cs="Arial"/>
                <w:b/>
                <w:sz w:val="18"/>
                <w:szCs w:val="18"/>
              </w:rPr>
              <w:t>Targeted support</w:t>
            </w:r>
          </w:p>
        </w:tc>
      </w:tr>
      <w:tr w:rsidR="000C614A" w:rsidRPr="00B73055" w:rsidTr="000C614A">
        <w:tc>
          <w:tcPr>
            <w:tcW w:w="1696" w:type="dxa"/>
            <w:tcMar>
              <w:top w:w="57" w:type="dxa"/>
              <w:bottom w:w="57" w:type="dxa"/>
            </w:tcMar>
          </w:tcPr>
          <w:p w:rsidR="000C614A" w:rsidRPr="00B73055" w:rsidRDefault="000C614A" w:rsidP="00783A9B">
            <w:pPr>
              <w:rPr>
                <w:rFonts w:ascii="Arial" w:hAnsi="Arial" w:cs="Arial"/>
                <w:b/>
                <w:sz w:val="18"/>
                <w:szCs w:val="18"/>
              </w:rPr>
            </w:pPr>
            <w:r w:rsidRPr="00B73055">
              <w:rPr>
                <w:rFonts w:ascii="Arial" w:hAnsi="Arial" w:cs="Arial"/>
                <w:b/>
                <w:sz w:val="18"/>
                <w:szCs w:val="18"/>
              </w:rPr>
              <w:t>Desired outcome</w:t>
            </w:r>
          </w:p>
        </w:tc>
        <w:tc>
          <w:tcPr>
            <w:tcW w:w="1843" w:type="dxa"/>
            <w:tcMar>
              <w:top w:w="57" w:type="dxa"/>
              <w:bottom w:w="57" w:type="dxa"/>
            </w:tcMar>
          </w:tcPr>
          <w:p w:rsidR="000C614A" w:rsidRPr="00B73055" w:rsidRDefault="000C614A" w:rsidP="00783A9B">
            <w:pPr>
              <w:rPr>
                <w:rFonts w:ascii="Arial" w:hAnsi="Arial" w:cs="Arial"/>
                <w:b/>
                <w:sz w:val="18"/>
                <w:szCs w:val="18"/>
              </w:rPr>
            </w:pPr>
            <w:r w:rsidRPr="00B73055">
              <w:rPr>
                <w:rFonts w:ascii="Arial" w:hAnsi="Arial" w:cs="Arial"/>
                <w:b/>
                <w:sz w:val="18"/>
                <w:szCs w:val="18"/>
              </w:rPr>
              <w:t>Chosen action/approach</w:t>
            </w:r>
          </w:p>
        </w:tc>
        <w:tc>
          <w:tcPr>
            <w:tcW w:w="4933" w:type="dxa"/>
            <w:tcMar>
              <w:top w:w="57" w:type="dxa"/>
              <w:bottom w:w="57" w:type="dxa"/>
            </w:tcMar>
          </w:tcPr>
          <w:p w:rsidR="000C614A" w:rsidRPr="00B73055" w:rsidRDefault="000C614A" w:rsidP="00783A9B">
            <w:pPr>
              <w:rPr>
                <w:rFonts w:ascii="Arial" w:hAnsi="Arial" w:cs="Arial"/>
                <w:sz w:val="18"/>
                <w:szCs w:val="18"/>
              </w:rPr>
            </w:pPr>
            <w:r w:rsidRPr="00B73055">
              <w:rPr>
                <w:rFonts w:ascii="Arial" w:hAnsi="Arial" w:cs="Arial"/>
                <w:b/>
                <w:sz w:val="18"/>
                <w:szCs w:val="18"/>
              </w:rPr>
              <w:t xml:space="preserve">Estimated impact: </w:t>
            </w:r>
            <w:r w:rsidRPr="00B73055">
              <w:rPr>
                <w:rFonts w:ascii="Arial" w:hAnsi="Arial" w:cs="Arial"/>
                <w:sz w:val="18"/>
                <w:szCs w:val="18"/>
              </w:rPr>
              <w:t>Did you meet the success criteria? Include impact on pupils not eligible for PP, if appropriate.</w:t>
            </w:r>
          </w:p>
        </w:tc>
        <w:tc>
          <w:tcPr>
            <w:tcW w:w="6124" w:type="dxa"/>
            <w:tcMar>
              <w:top w:w="57" w:type="dxa"/>
              <w:bottom w:w="57" w:type="dxa"/>
            </w:tcMar>
          </w:tcPr>
          <w:p w:rsidR="000C614A" w:rsidRPr="00B73055" w:rsidRDefault="000C614A" w:rsidP="00783A9B">
            <w:pPr>
              <w:rPr>
                <w:rFonts w:ascii="Arial" w:hAnsi="Arial" w:cs="Arial"/>
                <w:b/>
                <w:sz w:val="18"/>
                <w:szCs w:val="18"/>
              </w:rPr>
            </w:pPr>
            <w:r w:rsidRPr="00B73055">
              <w:rPr>
                <w:rFonts w:ascii="Arial" w:hAnsi="Arial" w:cs="Arial"/>
                <w:b/>
                <w:sz w:val="18"/>
                <w:szCs w:val="18"/>
              </w:rPr>
              <w:t xml:space="preserve">Lessons learned </w:t>
            </w:r>
          </w:p>
          <w:p w:rsidR="000C614A" w:rsidRPr="00B73055" w:rsidRDefault="000C614A" w:rsidP="00783A9B">
            <w:pPr>
              <w:rPr>
                <w:rFonts w:ascii="Arial" w:hAnsi="Arial" w:cs="Arial"/>
                <w:b/>
                <w:sz w:val="18"/>
                <w:szCs w:val="18"/>
              </w:rPr>
            </w:pPr>
            <w:r w:rsidRPr="00B73055">
              <w:rPr>
                <w:rFonts w:ascii="Arial" w:hAnsi="Arial" w:cs="Arial"/>
                <w:sz w:val="18"/>
                <w:szCs w:val="18"/>
              </w:rPr>
              <w:t>(and whether you will continue with this approach)</w:t>
            </w:r>
          </w:p>
        </w:tc>
        <w:tc>
          <w:tcPr>
            <w:tcW w:w="1134" w:type="dxa"/>
          </w:tcPr>
          <w:p w:rsidR="000C614A" w:rsidRPr="00B73055" w:rsidRDefault="000C614A" w:rsidP="00783A9B">
            <w:pPr>
              <w:rPr>
                <w:rFonts w:ascii="Arial" w:hAnsi="Arial" w:cs="Arial"/>
                <w:b/>
                <w:sz w:val="18"/>
                <w:szCs w:val="18"/>
              </w:rPr>
            </w:pPr>
            <w:r w:rsidRPr="00B73055">
              <w:rPr>
                <w:rFonts w:ascii="Arial" w:hAnsi="Arial" w:cs="Arial"/>
                <w:b/>
                <w:sz w:val="18"/>
                <w:szCs w:val="18"/>
              </w:rPr>
              <w:t>Cost</w:t>
            </w:r>
          </w:p>
        </w:tc>
      </w:tr>
      <w:tr w:rsidR="000C614A" w:rsidRPr="00B73055" w:rsidTr="000C614A">
        <w:trPr>
          <w:trHeight w:hRule="exact" w:val="2504"/>
        </w:trPr>
        <w:tc>
          <w:tcPr>
            <w:tcW w:w="1696" w:type="dxa"/>
            <w:tcMar>
              <w:top w:w="57" w:type="dxa"/>
              <w:bottom w:w="57" w:type="dxa"/>
            </w:tcMar>
          </w:tcPr>
          <w:p w:rsidR="000C614A" w:rsidRDefault="004C6DCE" w:rsidP="00783A9B">
            <w:pPr>
              <w:rPr>
                <w:rFonts w:ascii="Arial" w:hAnsi="Arial" w:cs="Arial"/>
                <w:sz w:val="18"/>
                <w:szCs w:val="18"/>
              </w:rPr>
            </w:pPr>
            <w:r>
              <w:rPr>
                <w:rFonts w:ascii="Arial" w:hAnsi="Arial" w:cs="Arial"/>
                <w:sz w:val="18"/>
                <w:szCs w:val="18"/>
              </w:rPr>
              <w:t>Accelerated reading progress.</w:t>
            </w:r>
          </w:p>
          <w:p w:rsidR="004C6DCE" w:rsidRDefault="004C6DCE" w:rsidP="00783A9B">
            <w:pPr>
              <w:rPr>
                <w:rFonts w:ascii="Arial" w:hAnsi="Arial" w:cs="Arial"/>
                <w:sz w:val="18"/>
                <w:szCs w:val="18"/>
              </w:rPr>
            </w:pPr>
          </w:p>
          <w:p w:rsidR="004C6DCE" w:rsidRDefault="004C6DCE" w:rsidP="00783A9B">
            <w:pPr>
              <w:rPr>
                <w:rFonts w:ascii="Arial" w:hAnsi="Arial" w:cs="Arial"/>
                <w:sz w:val="18"/>
                <w:szCs w:val="18"/>
              </w:rPr>
            </w:pPr>
          </w:p>
          <w:p w:rsidR="004C6DCE" w:rsidRDefault="004C6DCE" w:rsidP="00783A9B">
            <w:pPr>
              <w:rPr>
                <w:rFonts w:ascii="Arial" w:hAnsi="Arial" w:cs="Arial"/>
                <w:sz w:val="18"/>
                <w:szCs w:val="18"/>
              </w:rPr>
            </w:pPr>
          </w:p>
          <w:p w:rsidR="004C6DCE" w:rsidRDefault="004C6DCE" w:rsidP="00783A9B">
            <w:pPr>
              <w:rPr>
                <w:rFonts w:ascii="Arial" w:hAnsi="Arial" w:cs="Arial"/>
                <w:sz w:val="18"/>
                <w:szCs w:val="18"/>
              </w:rPr>
            </w:pPr>
          </w:p>
          <w:p w:rsidR="004C6DCE" w:rsidRDefault="004C6DCE" w:rsidP="00783A9B">
            <w:pPr>
              <w:rPr>
                <w:rFonts w:ascii="Arial" w:hAnsi="Arial" w:cs="Arial"/>
                <w:sz w:val="18"/>
                <w:szCs w:val="18"/>
              </w:rPr>
            </w:pPr>
          </w:p>
          <w:p w:rsidR="004C6DCE" w:rsidRPr="00B73055" w:rsidRDefault="004C6DCE" w:rsidP="00783A9B">
            <w:pPr>
              <w:rPr>
                <w:rFonts w:ascii="Arial" w:hAnsi="Arial" w:cs="Arial"/>
                <w:sz w:val="18"/>
                <w:szCs w:val="18"/>
              </w:rPr>
            </w:pPr>
            <w:r>
              <w:rPr>
                <w:rFonts w:ascii="Arial" w:hAnsi="Arial" w:cs="Arial"/>
                <w:sz w:val="18"/>
                <w:szCs w:val="18"/>
              </w:rPr>
              <w:t>Effective TAs supporting learning</w:t>
            </w:r>
          </w:p>
        </w:tc>
        <w:tc>
          <w:tcPr>
            <w:tcW w:w="1843" w:type="dxa"/>
            <w:tcMar>
              <w:top w:w="57" w:type="dxa"/>
              <w:bottom w:w="57" w:type="dxa"/>
            </w:tcMar>
          </w:tcPr>
          <w:p w:rsidR="000C614A" w:rsidRDefault="004C6DCE" w:rsidP="00783A9B">
            <w:pPr>
              <w:pStyle w:val="Default"/>
              <w:rPr>
                <w:color w:val="auto"/>
                <w:sz w:val="18"/>
                <w:szCs w:val="18"/>
              </w:rPr>
            </w:pPr>
            <w:r>
              <w:rPr>
                <w:color w:val="auto"/>
                <w:sz w:val="18"/>
                <w:szCs w:val="18"/>
              </w:rPr>
              <w:t>Redirect staff to support reading, increase progress rates for PP children.</w:t>
            </w:r>
          </w:p>
          <w:p w:rsidR="004C6DCE" w:rsidRDefault="004C6DCE" w:rsidP="00783A9B">
            <w:pPr>
              <w:pStyle w:val="Default"/>
              <w:rPr>
                <w:color w:val="auto"/>
                <w:sz w:val="18"/>
                <w:szCs w:val="18"/>
              </w:rPr>
            </w:pPr>
          </w:p>
          <w:p w:rsidR="004C6DCE" w:rsidRDefault="004C6DCE" w:rsidP="00783A9B">
            <w:pPr>
              <w:pStyle w:val="Default"/>
              <w:rPr>
                <w:color w:val="auto"/>
                <w:sz w:val="18"/>
                <w:szCs w:val="18"/>
              </w:rPr>
            </w:pPr>
          </w:p>
          <w:p w:rsidR="004C6DCE" w:rsidRPr="00B73055" w:rsidRDefault="004C6DCE" w:rsidP="00783A9B">
            <w:pPr>
              <w:pStyle w:val="Default"/>
              <w:rPr>
                <w:color w:val="auto"/>
                <w:sz w:val="18"/>
                <w:szCs w:val="18"/>
              </w:rPr>
            </w:pPr>
            <w:r>
              <w:rPr>
                <w:color w:val="auto"/>
                <w:sz w:val="18"/>
                <w:szCs w:val="18"/>
              </w:rPr>
              <w:t>Maintain additional learning support.</w:t>
            </w:r>
          </w:p>
        </w:tc>
        <w:tc>
          <w:tcPr>
            <w:tcW w:w="4933" w:type="dxa"/>
            <w:tcMar>
              <w:top w:w="57" w:type="dxa"/>
              <w:bottom w:w="57" w:type="dxa"/>
            </w:tcMar>
          </w:tcPr>
          <w:p w:rsidR="00C21F3C" w:rsidRDefault="004C6DCE" w:rsidP="00206C25">
            <w:pPr>
              <w:pStyle w:val="Default"/>
              <w:rPr>
                <w:color w:val="auto"/>
                <w:sz w:val="18"/>
                <w:szCs w:val="18"/>
              </w:rPr>
            </w:pPr>
            <w:r>
              <w:rPr>
                <w:color w:val="auto"/>
                <w:sz w:val="18"/>
                <w:szCs w:val="18"/>
              </w:rPr>
              <w:t xml:space="preserve">Reading attainment was weak at both KS1 &amp; 2 tests. </w:t>
            </w:r>
            <w:r w:rsidR="00206C25">
              <w:rPr>
                <w:color w:val="auto"/>
                <w:sz w:val="18"/>
                <w:szCs w:val="18"/>
              </w:rPr>
              <w:t>The a</w:t>
            </w:r>
            <w:r>
              <w:rPr>
                <w:color w:val="auto"/>
                <w:sz w:val="18"/>
                <w:szCs w:val="18"/>
              </w:rPr>
              <w:t xml:space="preserve">ccelerated reading program </w:t>
            </w:r>
            <w:r w:rsidR="00206C25">
              <w:rPr>
                <w:color w:val="auto"/>
                <w:sz w:val="18"/>
                <w:szCs w:val="18"/>
              </w:rPr>
              <w:t xml:space="preserve">is </w:t>
            </w:r>
            <w:r>
              <w:rPr>
                <w:color w:val="auto"/>
                <w:sz w:val="18"/>
                <w:szCs w:val="18"/>
              </w:rPr>
              <w:t xml:space="preserve">starting to have an </w:t>
            </w:r>
            <w:r w:rsidR="00C21F3C">
              <w:rPr>
                <w:color w:val="auto"/>
                <w:sz w:val="18"/>
                <w:szCs w:val="18"/>
              </w:rPr>
              <w:t>impact and</w:t>
            </w:r>
            <w:r w:rsidR="00206C25">
              <w:rPr>
                <w:color w:val="auto"/>
                <w:sz w:val="18"/>
                <w:szCs w:val="18"/>
              </w:rPr>
              <w:t xml:space="preserve"> will be continued as the evidence for improvement </w:t>
            </w:r>
            <w:r w:rsidR="00C21F3C">
              <w:rPr>
                <w:color w:val="auto"/>
                <w:sz w:val="18"/>
                <w:szCs w:val="18"/>
              </w:rPr>
              <w:t>is stro</w:t>
            </w:r>
            <w:r w:rsidR="00206C25">
              <w:rPr>
                <w:color w:val="auto"/>
                <w:sz w:val="18"/>
                <w:szCs w:val="18"/>
              </w:rPr>
              <w:t>ng</w:t>
            </w:r>
            <w:r w:rsidR="00C21F3C">
              <w:rPr>
                <w:color w:val="auto"/>
                <w:sz w:val="18"/>
                <w:szCs w:val="18"/>
              </w:rPr>
              <w:t>.</w:t>
            </w:r>
          </w:p>
          <w:p w:rsidR="00340878" w:rsidRDefault="00340878" w:rsidP="00206C25">
            <w:pPr>
              <w:pStyle w:val="Default"/>
              <w:rPr>
                <w:color w:val="auto"/>
                <w:sz w:val="18"/>
                <w:szCs w:val="18"/>
              </w:rPr>
            </w:pPr>
          </w:p>
          <w:p w:rsidR="00340878" w:rsidRDefault="00340878" w:rsidP="00206C25">
            <w:pPr>
              <w:pStyle w:val="Default"/>
              <w:rPr>
                <w:color w:val="auto"/>
                <w:sz w:val="18"/>
                <w:szCs w:val="18"/>
              </w:rPr>
            </w:pPr>
          </w:p>
          <w:p w:rsidR="00340878" w:rsidRDefault="00340878" w:rsidP="00206C25">
            <w:pPr>
              <w:pStyle w:val="Default"/>
              <w:rPr>
                <w:color w:val="auto"/>
                <w:sz w:val="18"/>
                <w:szCs w:val="18"/>
              </w:rPr>
            </w:pPr>
          </w:p>
          <w:p w:rsidR="00340878" w:rsidRDefault="00340878" w:rsidP="00206C25">
            <w:pPr>
              <w:pStyle w:val="Default"/>
              <w:rPr>
                <w:color w:val="auto"/>
                <w:sz w:val="18"/>
                <w:szCs w:val="18"/>
              </w:rPr>
            </w:pPr>
            <w:r>
              <w:rPr>
                <w:color w:val="auto"/>
                <w:sz w:val="18"/>
                <w:szCs w:val="18"/>
              </w:rPr>
              <w:t>Deployment of TAs enabled better phonic support in KS1 with positive outcomes and targeted support across the school.</w:t>
            </w:r>
          </w:p>
          <w:p w:rsidR="00C21F3C" w:rsidRDefault="00C21F3C" w:rsidP="00206C25">
            <w:pPr>
              <w:pStyle w:val="Default"/>
              <w:rPr>
                <w:color w:val="auto"/>
                <w:sz w:val="18"/>
                <w:szCs w:val="18"/>
              </w:rPr>
            </w:pPr>
          </w:p>
          <w:p w:rsidR="00C21F3C" w:rsidRDefault="00C21F3C" w:rsidP="00206C25">
            <w:pPr>
              <w:pStyle w:val="Default"/>
              <w:rPr>
                <w:color w:val="auto"/>
                <w:sz w:val="18"/>
                <w:szCs w:val="18"/>
              </w:rPr>
            </w:pPr>
          </w:p>
          <w:p w:rsidR="00C21F3C" w:rsidRDefault="00C21F3C" w:rsidP="00206C25">
            <w:pPr>
              <w:pStyle w:val="Default"/>
              <w:rPr>
                <w:color w:val="auto"/>
                <w:sz w:val="18"/>
                <w:szCs w:val="18"/>
              </w:rPr>
            </w:pPr>
          </w:p>
          <w:p w:rsidR="000C614A" w:rsidRPr="00B73055" w:rsidRDefault="00C82824" w:rsidP="00206C25">
            <w:pPr>
              <w:pStyle w:val="Default"/>
              <w:rPr>
                <w:color w:val="auto"/>
                <w:sz w:val="18"/>
                <w:szCs w:val="18"/>
              </w:rPr>
            </w:pPr>
            <w:r>
              <w:rPr>
                <w:color w:val="auto"/>
                <w:sz w:val="18"/>
                <w:szCs w:val="18"/>
              </w:rPr>
              <w:t xml:space="preserve">                                                                                                                                                                                                                                                                                                                                                                                                                                                                                                                                                                                                                                                                                                                                                                                                                                                                                                                                                                                                                                                                                                                                                                                                                                                                                                                                                                                                                                                                                                                                                                                                                                                                                                                                                                                                                                                                                                                                                                                                                                                                                                                                                                                                                                                                                                                                                                                                                                                                                                                                                                                                                                                                                                                                                                                                                                                                                                                                                                                                                                                                                                                                                                                                                                                                                                                                                                                                                                                                                                                                                                                                                                                                                                                                                                                                                                                                                                                                                                                                                                                                                                                                                                                                                                                                                                                                                                                                                                                                                                                                                                                                                                                                                                                                                                                                                                                                                                                                                                                                                                                                                                                                                                                                                                                                                                                                                                                                                                                                                                                                                                                                                       </w:t>
            </w:r>
          </w:p>
        </w:tc>
        <w:tc>
          <w:tcPr>
            <w:tcW w:w="6124" w:type="dxa"/>
            <w:tcMar>
              <w:top w:w="57" w:type="dxa"/>
              <w:bottom w:w="57" w:type="dxa"/>
            </w:tcMar>
          </w:tcPr>
          <w:p w:rsidR="000C614A" w:rsidRDefault="00C21F3C" w:rsidP="00783A9B">
            <w:pPr>
              <w:rPr>
                <w:rFonts w:ascii="Arial" w:hAnsi="Arial" w:cs="Arial"/>
                <w:sz w:val="18"/>
                <w:szCs w:val="18"/>
              </w:rPr>
            </w:pPr>
            <w:r>
              <w:rPr>
                <w:rFonts w:ascii="Arial" w:hAnsi="Arial" w:cs="Arial"/>
                <w:sz w:val="18"/>
                <w:szCs w:val="18"/>
              </w:rPr>
              <w:t>AR is an effective tool coupled with the introduction of a new program to teach reading in class will have a positive impact on pupils</w:t>
            </w:r>
            <w:r w:rsidR="008F7327">
              <w:rPr>
                <w:rFonts w:ascii="Arial" w:hAnsi="Arial" w:cs="Arial"/>
                <w:sz w:val="18"/>
                <w:szCs w:val="18"/>
              </w:rPr>
              <w:t>’</w:t>
            </w:r>
            <w:r>
              <w:rPr>
                <w:rFonts w:ascii="Arial" w:hAnsi="Arial" w:cs="Arial"/>
                <w:sz w:val="18"/>
                <w:szCs w:val="18"/>
              </w:rPr>
              <w:t xml:space="preserve"> attainment in 2018-9</w:t>
            </w:r>
            <w:r w:rsidR="00340878">
              <w:rPr>
                <w:rFonts w:ascii="Arial" w:hAnsi="Arial" w:cs="Arial"/>
                <w:sz w:val="18"/>
                <w:szCs w:val="18"/>
              </w:rPr>
              <w:t>.</w:t>
            </w:r>
          </w:p>
          <w:p w:rsidR="00340878" w:rsidRDefault="00340878" w:rsidP="00783A9B">
            <w:pPr>
              <w:rPr>
                <w:rFonts w:ascii="Arial" w:hAnsi="Arial" w:cs="Arial"/>
                <w:sz w:val="18"/>
                <w:szCs w:val="18"/>
              </w:rPr>
            </w:pPr>
          </w:p>
          <w:p w:rsidR="00340878" w:rsidRDefault="00340878" w:rsidP="00783A9B">
            <w:pPr>
              <w:rPr>
                <w:rFonts w:ascii="Arial" w:hAnsi="Arial" w:cs="Arial"/>
                <w:sz w:val="18"/>
                <w:szCs w:val="18"/>
              </w:rPr>
            </w:pPr>
          </w:p>
          <w:p w:rsidR="00340878" w:rsidRDefault="00340878" w:rsidP="00783A9B">
            <w:pPr>
              <w:rPr>
                <w:rFonts w:ascii="Arial" w:hAnsi="Arial" w:cs="Arial"/>
                <w:sz w:val="18"/>
                <w:szCs w:val="18"/>
              </w:rPr>
            </w:pPr>
          </w:p>
          <w:p w:rsidR="00340878" w:rsidRDefault="00340878" w:rsidP="00783A9B">
            <w:pPr>
              <w:rPr>
                <w:rFonts w:ascii="Arial" w:hAnsi="Arial" w:cs="Arial"/>
                <w:sz w:val="18"/>
                <w:szCs w:val="18"/>
              </w:rPr>
            </w:pPr>
          </w:p>
          <w:p w:rsidR="00340878" w:rsidRPr="00B73055" w:rsidRDefault="00340878" w:rsidP="00783A9B">
            <w:pPr>
              <w:rPr>
                <w:rFonts w:ascii="Arial" w:hAnsi="Arial" w:cs="Arial"/>
                <w:sz w:val="18"/>
                <w:szCs w:val="18"/>
              </w:rPr>
            </w:pPr>
            <w:r>
              <w:rPr>
                <w:rFonts w:ascii="Arial" w:hAnsi="Arial" w:cs="Arial"/>
                <w:sz w:val="18"/>
                <w:szCs w:val="18"/>
              </w:rPr>
              <w:t>Reduction in TA numbers for 2018-9 and better targeted deployment will improve pupils’ outcomes. TA training to upskill them in providing quality interventions during 2018-9.</w:t>
            </w:r>
          </w:p>
        </w:tc>
        <w:tc>
          <w:tcPr>
            <w:tcW w:w="1134" w:type="dxa"/>
          </w:tcPr>
          <w:p w:rsidR="000C614A" w:rsidRPr="00B73055" w:rsidRDefault="004F366A" w:rsidP="00783A9B">
            <w:pPr>
              <w:rPr>
                <w:rFonts w:ascii="Arial" w:hAnsi="Arial" w:cs="Arial"/>
                <w:sz w:val="18"/>
                <w:szCs w:val="18"/>
              </w:rPr>
            </w:pPr>
            <w:r>
              <w:rPr>
                <w:rFonts w:ascii="Arial" w:hAnsi="Arial" w:cs="Arial"/>
                <w:sz w:val="18"/>
                <w:szCs w:val="18"/>
              </w:rPr>
              <w:t>£96,000</w:t>
            </w:r>
          </w:p>
        </w:tc>
      </w:tr>
      <w:tr w:rsidR="000C614A" w:rsidRPr="00B73055" w:rsidTr="000C614A">
        <w:trPr>
          <w:trHeight w:hRule="exact" w:val="312"/>
        </w:trPr>
        <w:tc>
          <w:tcPr>
            <w:tcW w:w="15730" w:type="dxa"/>
            <w:gridSpan w:val="5"/>
            <w:shd w:val="clear" w:color="auto" w:fill="ACB9CA" w:themeFill="text2" w:themeFillTint="66"/>
            <w:tcMar>
              <w:top w:w="57" w:type="dxa"/>
              <w:bottom w:w="57" w:type="dxa"/>
            </w:tcMar>
          </w:tcPr>
          <w:p w:rsidR="000C614A" w:rsidRPr="00B73055" w:rsidRDefault="000C614A" w:rsidP="000C614A">
            <w:pPr>
              <w:pStyle w:val="ListParagraph"/>
              <w:numPr>
                <w:ilvl w:val="0"/>
                <w:numId w:val="1"/>
              </w:numPr>
              <w:ind w:left="426" w:hanging="142"/>
              <w:rPr>
                <w:rFonts w:ascii="Arial" w:hAnsi="Arial" w:cs="Arial"/>
                <w:b/>
                <w:sz w:val="18"/>
                <w:szCs w:val="18"/>
              </w:rPr>
            </w:pPr>
            <w:r w:rsidRPr="00B73055">
              <w:rPr>
                <w:rFonts w:ascii="Arial" w:hAnsi="Arial" w:cs="Arial"/>
                <w:b/>
                <w:sz w:val="18"/>
                <w:szCs w:val="18"/>
              </w:rPr>
              <w:t>Other approaches</w:t>
            </w:r>
          </w:p>
        </w:tc>
      </w:tr>
      <w:tr w:rsidR="000C614A" w:rsidRPr="00B73055" w:rsidTr="000C614A">
        <w:tc>
          <w:tcPr>
            <w:tcW w:w="1696" w:type="dxa"/>
            <w:tcMar>
              <w:top w:w="57" w:type="dxa"/>
              <w:bottom w:w="57" w:type="dxa"/>
            </w:tcMar>
          </w:tcPr>
          <w:p w:rsidR="000C614A" w:rsidRPr="00B73055" w:rsidRDefault="000C614A" w:rsidP="00783A9B">
            <w:pPr>
              <w:rPr>
                <w:rFonts w:ascii="Arial" w:hAnsi="Arial" w:cs="Arial"/>
                <w:b/>
                <w:sz w:val="18"/>
                <w:szCs w:val="18"/>
              </w:rPr>
            </w:pPr>
            <w:r w:rsidRPr="00B73055">
              <w:rPr>
                <w:rFonts w:ascii="Arial" w:hAnsi="Arial" w:cs="Arial"/>
                <w:b/>
                <w:sz w:val="18"/>
                <w:szCs w:val="18"/>
              </w:rPr>
              <w:t>Desired outcome</w:t>
            </w:r>
          </w:p>
        </w:tc>
        <w:tc>
          <w:tcPr>
            <w:tcW w:w="1843" w:type="dxa"/>
            <w:tcMar>
              <w:top w:w="57" w:type="dxa"/>
              <w:bottom w:w="57" w:type="dxa"/>
            </w:tcMar>
          </w:tcPr>
          <w:p w:rsidR="000C614A" w:rsidRPr="00B73055" w:rsidRDefault="000C614A" w:rsidP="00783A9B">
            <w:pPr>
              <w:rPr>
                <w:rFonts w:ascii="Arial" w:hAnsi="Arial" w:cs="Arial"/>
                <w:b/>
                <w:sz w:val="18"/>
                <w:szCs w:val="18"/>
              </w:rPr>
            </w:pPr>
            <w:r w:rsidRPr="00B73055">
              <w:rPr>
                <w:rFonts w:ascii="Arial" w:hAnsi="Arial" w:cs="Arial"/>
                <w:b/>
                <w:sz w:val="18"/>
                <w:szCs w:val="18"/>
              </w:rPr>
              <w:t>Chosen action/approach</w:t>
            </w:r>
          </w:p>
        </w:tc>
        <w:tc>
          <w:tcPr>
            <w:tcW w:w="4933" w:type="dxa"/>
            <w:tcMar>
              <w:top w:w="57" w:type="dxa"/>
              <w:bottom w:w="57" w:type="dxa"/>
            </w:tcMar>
          </w:tcPr>
          <w:p w:rsidR="000C614A" w:rsidRPr="00B73055" w:rsidRDefault="000C614A" w:rsidP="00783A9B">
            <w:pPr>
              <w:rPr>
                <w:rFonts w:ascii="Arial" w:hAnsi="Arial" w:cs="Arial"/>
                <w:sz w:val="18"/>
                <w:szCs w:val="18"/>
              </w:rPr>
            </w:pPr>
            <w:r w:rsidRPr="00B73055">
              <w:rPr>
                <w:rFonts w:ascii="Arial" w:hAnsi="Arial" w:cs="Arial"/>
                <w:b/>
                <w:sz w:val="18"/>
                <w:szCs w:val="18"/>
              </w:rPr>
              <w:t xml:space="preserve">Estimated impact: </w:t>
            </w:r>
            <w:r w:rsidRPr="00B73055">
              <w:rPr>
                <w:rFonts w:ascii="Arial" w:hAnsi="Arial" w:cs="Arial"/>
                <w:sz w:val="18"/>
                <w:szCs w:val="18"/>
              </w:rPr>
              <w:t>Did you meet the success criteria? Include impact on pupils not eligible for PP, if appropriate.</w:t>
            </w:r>
          </w:p>
        </w:tc>
        <w:tc>
          <w:tcPr>
            <w:tcW w:w="6124" w:type="dxa"/>
            <w:tcMar>
              <w:top w:w="57" w:type="dxa"/>
              <w:bottom w:w="57" w:type="dxa"/>
            </w:tcMar>
          </w:tcPr>
          <w:p w:rsidR="000C614A" w:rsidRPr="00B73055" w:rsidRDefault="000C614A" w:rsidP="00783A9B">
            <w:pPr>
              <w:rPr>
                <w:rFonts w:ascii="Arial" w:hAnsi="Arial" w:cs="Arial"/>
                <w:b/>
                <w:sz w:val="18"/>
                <w:szCs w:val="18"/>
              </w:rPr>
            </w:pPr>
            <w:r w:rsidRPr="00B73055">
              <w:rPr>
                <w:rFonts w:ascii="Arial" w:hAnsi="Arial" w:cs="Arial"/>
                <w:b/>
                <w:sz w:val="18"/>
                <w:szCs w:val="18"/>
              </w:rPr>
              <w:t xml:space="preserve">Lessons learned </w:t>
            </w:r>
          </w:p>
          <w:p w:rsidR="000C614A" w:rsidRPr="00B73055" w:rsidRDefault="000C614A" w:rsidP="00783A9B">
            <w:pPr>
              <w:rPr>
                <w:rFonts w:ascii="Arial" w:hAnsi="Arial" w:cs="Arial"/>
                <w:b/>
                <w:sz w:val="18"/>
                <w:szCs w:val="18"/>
              </w:rPr>
            </w:pPr>
            <w:r w:rsidRPr="00B73055">
              <w:rPr>
                <w:rFonts w:ascii="Arial" w:hAnsi="Arial" w:cs="Arial"/>
                <w:sz w:val="18"/>
                <w:szCs w:val="18"/>
              </w:rPr>
              <w:t>(and whether you will continue with this approach)</w:t>
            </w:r>
          </w:p>
        </w:tc>
        <w:tc>
          <w:tcPr>
            <w:tcW w:w="1134" w:type="dxa"/>
          </w:tcPr>
          <w:p w:rsidR="000C614A" w:rsidRPr="00B73055" w:rsidRDefault="000C614A" w:rsidP="00783A9B">
            <w:pPr>
              <w:rPr>
                <w:rFonts w:ascii="Arial" w:hAnsi="Arial" w:cs="Arial"/>
                <w:b/>
                <w:sz w:val="18"/>
                <w:szCs w:val="18"/>
              </w:rPr>
            </w:pPr>
            <w:r w:rsidRPr="00B73055">
              <w:rPr>
                <w:rFonts w:ascii="Arial" w:hAnsi="Arial" w:cs="Arial"/>
                <w:b/>
                <w:sz w:val="18"/>
                <w:szCs w:val="18"/>
              </w:rPr>
              <w:t>Cost</w:t>
            </w:r>
          </w:p>
        </w:tc>
      </w:tr>
      <w:tr w:rsidR="000C614A" w:rsidRPr="00B73055" w:rsidTr="000C614A">
        <w:trPr>
          <w:trHeight w:hRule="exact" w:val="1804"/>
        </w:trPr>
        <w:tc>
          <w:tcPr>
            <w:tcW w:w="1696" w:type="dxa"/>
            <w:tcMar>
              <w:top w:w="57" w:type="dxa"/>
              <w:bottom w:w="57" w:type="dxa"/>
            </w:tcMar>
          </w:tcPr>
          <w:p w:rsidR="000C614A" w:rsidRPr="00B73055" w:rsidRDefault="004F366A" w:rsidP="00783A9B">
            <w:pPr>
              <w:rPr>
                <w:rFonts w:ascii="Arial" w:hAnsi="Arial" w:cs="Arial"/>
                <w:sz w:val="18"/>
                <w:szCs w:val="18"/>
              </w:rPr>
            </w:pPr>
            <w:r>
              <w:rPr>
                <w:rFonts w:ascii="Arial" w:hAnsi="Arial" w:cs="Arial"/>
                <w:sz w:val="18"/>
                <w:szCs w:val="18"/>
              </w:rPr>
              <w:t>Pupil engagement in their learning improved.</w:t>
            </w:r>
          </w:p>
        </w:tc>
        <w:tc>
          <w:tcPr>
            <w:tcW w:w="1843" w:type="dxa"/>
            <w:tcMar>
              <w:top w:w="57" w:type="dxa"/>
              <w:bottom w:w="57" w:type="dxa"/>
            </w:tcMar>
          </w:tcPr>
          <w:p w:rsidR="000C614A" w:rsidRPr="00B73055" w:rsidRDefault="004F366A" w:rsidP="00783A9B">
            <w:pPr>
              <w:pStyle w:val="Default"/>
              <w:rPr>
                <w:sz w:val="18"/>
                <w:szCs w:val="18"/>
              </w:rPr>
            </w:pPr>
            <w:r>
              <w:rPr>
                <w:sz w:val="18"/>
                <w:szCs w:val="18"/>
              </w:rPr>
              <w:t>Provision of holiday, lunch and breakfast clubs</w:t>
            </w:r>
          </w:p>
        </w:tc>
        <w:tc>
          <w:tcPr>
            <w:tcW w:w="4933" w:type="dxa"/>
            <w:tcMar>
              <w:top w:w="57" w:type="dxa"/>
              <w:bottom w:w="57" w:type="dxa"/>
            </w:tcMar>
          </w:tcPr>
          <w:p w:rsidR="000C614A" w:rsidRPr="00B73055" w:rsidRDefault="00340878" w:rsidP="00783A9B">
            <w:pPr>
              <w:pStyle w:val="Default"/>
              <w:rPr>
                <w:color w:val="auto"/>
                <w:sz w:val="18"/>
                <w:szCs w:val="18"/>
              </w:rPr>
            </w:pPr>
            <w:r>
              <w:rPr>
                <w:color w:val="auto"/>
                <w:sz w:val="18"/>
                <w:szCs w:val="18"/>
              </w:rPr>
              <w:t xml:space="preserve">Lunch clubs provided additional support at lunch leading to more positive afternoon sessions. Breakfast club </w:t>
            </w:r>
            <w:r w:rsidR="00686D1D">
              <w:rPr>
                <w:color w:val="auto"/>
                <w:sz w:val="18"/>
                <w:szCs w:val="18"/>
              </w:rPr>
              <w:t>provision ensured target pupils had a positive start to the day.</w:t>
            </w:r>
          </w:p>
        </w:tc>
        <w:tc>
          <w:tcPr>
            <w:tcW w:w="6124" w:type="dxa"/>
            <w:tcMar>
              <w:top w:w="57" w:type="dxa"/>
              <w:bottom w:w="57" w:type="dxa"/>
            </w:tcMar>
          </w:tcPr>
          <w:p w:rsidR="000C614A" w:rsidRDefault="00686D1D" w:rsidP="00783A9B">
            <w:pPr>
              <w:rPr>
                <w:rFonts w:ascii="Arial" w:hAnsi="Arial" w:cs="Arial"/>
                <w:sz w:val="18"/>
                <w:szCs w:val="18"/>
              </w:rPr>
            </w:pPr>
            <w:r>
              <w:rPr>
                <w:rFonts w:ascii="Arial" w:hAnsi="Arial" w:cs="Arial"/>
                <w:sz w:val="18"/>
                <w:szCs w:val="18"/>
              </w:rPr>
              <w:t>Provisi</w:t>
            </w:r>
            <w:r w:rsidR="00AE49E1">
              <w:rPr>
                <w:rFonts w:ascii="Arial" w:hAnsi="Arial" w:cs="Arial"/>
                <w:sz w:val="18"/>
                <w:szCs w:val="18"/>
              </w:rPr>
              <w:t xml:space="preserve">on of clubs to continue, investigate the </w:t>
            </w:r>
            <w:r>
              <w:rPr>
                <w:rFonts w:ascii="Arial" w:hAnsi="Arial" w:cs="Arial"/>
                <w:sz w:val="18"/>
                <w:szCs w:val="18"/>
              </w:rPr>
              <w:t>upskill</w:t>
            </w:r>
            <w:r w:rsidR="00AE49E1">
              <w:rPr>
                <w:rFonts w:ascii="Arial" w:hAnsi="Arial" w:cs="Arial"/>
                <w:sz w:val="18"/>
                <w:szCs w:val="18"/>
              </w:rPr>
              <w:t>ing of</w:t>
            </w:r>
            <w:r>
              <w:rPr>
                <w:rFonts w:ascii="Arial" w:hAnsi="Arial" w:cs="Arial"/>
                <w:sz w:val="18"/>
                <w:szCs w:val="18"/>
              </w:rPr>
              <w:t xml:space="preserve"> MTAs to run </w:t>
            </w:r>
            <w:r w:rsidR="00AE49E1">
              <w:rPr>
                <w:rFonts w:ascii="Arial" w:hAnsi="Arial" w:cs="Arial"/>
                <w:sz w:val="18"/>
                <w:szCs w:val="18"/>
              </w:rPr>
              <w:t xml:space="preserve">the </w:t>
            </w:r>
            <w:r>
              <w:rPr>
                <w:rFonts w:ascii="Arial" w:hAnsi="Arial" w:cs="Arial"/>
                <w:sz w:val="18"/>
                <w:szCs w:val="18"/>
              </w:rPr>
              <w:t>provision and quickly re-integrate pupils back onto play ground to experience positive lunch times with their peers.</w:t>
            </w:r>
          </w:p>
          <w:p w:rsidR="00686D1D" w:rsidRDefault="00686D1D" w:rsidP="00783A9B">
            <w:pPr>
              <w:rPr>
                <w:rFonts w:ascii="Arial" w:hAnsi="Arial" w:cs="Arial"/>
                <w:sz w:val="18"/>
                <w:szCs w:val="18"/>
              </w:rPr>
            </w:pPr>
          </w:p>
          <w:p w:rsidR="00686D1D" w:rsidRPr="00B73055" w:rsidRDefault="00686D1D" w:rsidP="00783A9B">
            <w:pPr>
              <w:rPr>
                <w:rFonts w:ascii="Arial" w:hAnsi="Arial" w:cs="Arial"/>
                <w:sz w:val="18"/>
                <w:szCs w:val="18"/>
              </w:rPr>
            </w:pPr>
            <w:r>
              <w:rPr>
                <w:rFonts w:ascii="Arial" w:hAnsi="Arial" w:cs="Arial"/>
                <w:sz w:val="18"/>
                <w:szCs w:val="18"/>
              </w:rPr>
              <w:t>Breakfast club has proved successful and will continue.</w:t>
            </w:r>
          </w:p>
        </w:tc>
        <w:tc>
          <w:tcPr>
            <w:tcW w:w="1134" w:type="dxa"/>
          </w:tcPr>
          <w:p w:rsidR="000C614A" w:rsidRPr="00B73055" w:rsidRDefault="004F366A" w:rsidP="00783A9B">
            <w:pPr>
              <w:rPr>
                <w:rFonts w:ascii="Arial" w:hAnsi="Arial" w:cs="Arial"/>
                <w:sz w:val="18"/>
                <w:szCs w:val="18"/>
              </w:rPr>
            </w:pPr>
            <w:r>
              <w:rPr>
                <w:rFonts w:ascii="Arial" w:hAnsi="Arial" w:cs="Arial"/>
                <w:sz w:val="18"/>
                <w:szCs w:val="18"/>
              </w:rPr>
              <w:t>£8,000</w:t>
            </w:r>
          </w:p>
        </w:tc>
      </w:tr>
    </w:tbl>
    <w:p w:rsidR="007A3DFB" w:rsidRDefault="008F7327" w:rsidP="000C614A"/>
    <w:sectPr w:rsidR="007A3DFB" w:rsidSect="000C614A">
      <w:pgSz w:w="16838" w:h="11906" w:orient="landscape"/>
      <w:pgMar w:top="426" w:right="53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62A97"/>
    <w:multiLevelType w:val="hybridMultilevel"/>
    <w:tmpl w:val="355A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4A"/>
    <w:rsid w:val="00027FDC"/>
    <w:rsid w:val="000C614A"/>
    <w:rsid w:val="00206C25"/>
    <w:rsid w:val="00340878"/>
    <w:rsid w:val="004C6DCE"/>
    <w:rsid w:val="004F366A"/>
    <w:rsid w:val="00686D1D"/>
    <w:rsid w:val="006B54F3"/>
    <w:rsid w:val="00744C21"/>
    <w:rsid w:val="008F7327"/>
    <w:rsid w:val="00A86339"/>
    <w:rsid w:val="00AE49E1"/>
    <w:rsid w:val="00C21F3C"/>
    <w:rsid w:val="00C82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CBA0"/>
  <w15:chartTrackingRefBased/>
  <w15:docId w15:val="{B2762A69-3256-488E-A32E-DDBBD96E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4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14A"/>
    <w:pPr>
      <w:ind w:left="720"/>
    </w:pPr>
  </w:style>
  <w:style w:type="table" w:styleId="TableGrid">
    <w:name w:val="Table Grid"/>
    <w:basedOn w:val="TableNormal"/>
    <w:uiPriority w:val="59"/>
    <w:rsid w:val="000C6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61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Roberts</dc:creator>
  <cp:keywords/>
  <dc:description/>
  <cp:lastModifiedBy>Joe Roberts</cp:lastModifiedBy>
  <cp:revision>7</cp:revision>
  <dcterms:created xsi:type="dcterms:W3CDTF">2019-01-23T15:32:00Z</dcterms:created>
  <dcterms:modified xsi:type="dcterms:W3CDTF">2019-01-25T12:55:00Z</dcterms:modified>
</cp:coreProperties>
</file>